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8520D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7620857A" w14:textId="47D5842D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72F3C8B9" wp14:editId="74BB1304">
            <wp:extent cx="525780" cy="609600"/>
            <wp:effectExtent l="0" t="0" r="7620" b="0"/>
            <wp:docPr id="551786549" name="Picture 1" descr="A colorful emblem with a red and blue sh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86549" name="Picture 1" descr="A colorful emblem with a red and blue shie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8178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5"/>
          <w:szCs w:val="25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5"/>
          <w:szCs w:val="25"/>
          <w:lang w:eastAsia="ro-MD"/>
          <w14:ligatures w14:val="none"/>
        </w:rPr>
        <w:t>НАЦИОНАЛЬНЫЙ БАНК МОЛДОВЫ</w:t>
      </w:r>
    </w:p>
    <w:p w14:paraId="134CC505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032EFDED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ПОСТАНОВЛЕНИЕ</w:t>
      </w:r>
    </w:p>
    <w:p w14:paraId="3CD02DE9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об утверждени</w:t>
      </w:r>
      <w:bookmarkStart w:id="0" w:name="_GoBack"/>
      <w:bookmarkEnd w:id="0"/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и Регламента о требованиях в области предупреждения</w:t>
      </w:r>
    </w:p>
    <w:p w14:paraId="197E220F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и борьбы с отмыванием денег и финансированием терроризма</w:t>
      </w:r>
    </w:p>
    <w:p w14:paraId="16ED5ED6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в деятельности учреждения по валютному обмену</w:t>
      </w:r>
    </w:p>
    <w:p w14:paraId="2B5BF2DD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0180C7D4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№ 201  от  09.08.2018</w:t>
      </w:r>
    </w:p>
    <w:p w14:paraId="447EC4B1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  <w:r w:rsidRPr="007113B5">
        <w:rPr>
          <w:rFonts w:ascii="Arial" w:eastAsia="Times New Roman" w:hAnsi="Arial" w:cs="Arial"/>
          <w:i/>
          <w:iCs/>
          <w:kern w:val="0"/>
          <w:lang w:eastAsia="ro-MD"/>
          <w14:ligatures w14:val="none"/>
        </w:rPr>
        <w:t>(в силу 24.08.2018)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4E4C8860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6918BA84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lang w:eastAsia="ro-MD"/>
          <w14:ligatures w14:val="none"/>
        </w:rPr>
        <w:t>Мониторул Офичиал ал Р. Молдова № 321-332 ст. 1312 от 24.08.2018</w:t>
      </w:r>
    </w:p>
    <w:p w14:paraId="74B84C84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5D5C59BD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* * *</w:t>
      </w:r>
    </w:p>
    <w:tbl>
      <w:tblPr>
        <w:tblW w:w="7200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8"/>
        <w:gridCol w:w="1882"/>
      </w:tblGrid>
      <w:tr w:rsidR="007113B5" w:rsidRPr="007113B5" w14:paraId="79C2E432" w14:textId="77777777" w:rsidTr="007113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24" w:type="dxa"/>
              <w:left w:w="120" w:type="dxa"/>
              <w:bottom w:w="24" w:type="dxa"/>
              <w:right w:w="240" w:type="dxa"/>
            </w:tcMar>
            <w:vAlign w:val="center"/>
            <w:hideMark/>
          </w:tcPr>
          <w:p w14:paraId="3AEB962E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Акты которые внесут изменения: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24" w:type="dxa"/>
              <w:left w:w="120" w:type="dxa"/>
              <w:bottom w:w="24" w:type="dxa"/>
              <w:right w:w="240" w:type="dxa"/>
            </w:tcMar>
            <w:vAlign w:val="center"/>
            <w:hideMark/>
          </w:tcPr>
          <w:p w14:paraId="7AED397A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В силу</w:t>
            </w:r>
          </w:p>
        </w:tc>
      </w:tr>
      <w:tr w:rsidR="007113B5" w:rsidRPr="007113B5" w14:paraId="5E064471" w14:textId="77777777" w:rsidTr="007113B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24" w:type="dxa"/>
              <w:left w:w="120" w:type="dxa"/>
              <w:bottom w:w="24" w:type="dxa"/>
              <w:right w:w="240" w:type="dxa"/>
            </w:tcMar>
            <w:vAlign w:val="center"/>
            <w:hideMark/>
          </w:tcPr>
          <w:p w14:paraId="44B93B23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  <w:t>- Постановление N 20 от 24.01.2024 о</w:t>
            </w:r>
            <w:r w:rsidRPr="007113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  <w:br/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color w:val="5F5F5F"/>
                <w:kern w:val="0"/>
                <w:sz w:val="20"/>
                <w:szCs w:val="20"/>
                <w:lang w:eastAsia="ro-MD"/>
                <w14:ligatures w14:val="none"/>
              </w:rPr>
              <w:t>Вносятся изменения в пкт.19,20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24" w:type="dxa"/>
              <w:left w:w="120" w:type="dxa"/>
              <w:bottom w:w="24" w:type="dxa"/>
              <w:right w:w="240" w:type="dxa"/>
            </w:tcMar>
            <w:vAlign w:val="center"/>
            <w:hideMark/>
          </w:tcPr>
          <w:p w14:paraId="111E99FD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  <w:t>09.03.2024</w:t>
            </w:r>
          </w:p>
        </w:tc>
      </w:tr>
    </w:tbl>
    <w:p w14:paraId="317C9278" w14:textId="77777777" w:rsidR="007113B5" w:rsidRPr="007113B5" w:rsidRDefault="007113B5" w:rsidP="007113B5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>ЗАРЕГИСТРИРОВАНО:</w:t>
      </w:r>
    </w:p>
    <w:p w14:paraId="130BE342" w14:textId="77777777" w:rsidR="007113B5" w:rsidRPr="007113B5" w:rsidRDefault="007113B5" w:rsidP="007113B5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>Министерство юстиции</w:t>
      </w:r>
    </w:p>
    <w:p w14:paraId="4A1A1066" w14:textId="77777777" w:rsidR="007113B5" w:rsidRPr="007113B5" w:rsidRDefault="007113B5" w:rsidP="007113B5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>Республики Молдова</w:t>
      </w:r>
    </w:p>
    <w:p w14:paraId="64F40673" w14:textId="77777777" w:rsidR="007113B5" w:rsidRPr="007113B5" w:rsidRDefault="007113B5" w:rsidP="007113B5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>__________________________</w:t>
      </w:r>
    </w:p>
    <w:p w14:paraId="00A84B1D" w14:textId="77777777" w:rsidR="007113B5" w:rsidRPr="007113B5" w:rsidRDefault="007113B5" w:rsidP="007113B5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19"/>
          <w:szCs w:val="19"/>
          <w:lang w:eastAsia="ro-MD"/>
          <w14:ligatures w14:val="none"/>
        </w:rPr>
        <w:t>№ 1353 от 21.08.2018 г.</w:t>
      </w:r>
    </w:p>
    <w:p w14:paraId="5356492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3040A6FF" w14:textId="77777777" w:rsidR="007113B5" w:rsidRPr="007113B5" w:rsidRDefault="007113B5" w:rsidP="007113B5">
      <w:pPr>
        <w:spacing w:after="0" w:line="240" w:lineRule="auto"/>
        <w:ind w:left="567" w:right="567" w:hanging="567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Примечание: В названии Постановления и регламента, а также по всему их тексту, кроме п.2 регламента, слова "обменных валютных касс и гостиниц" в любом падеже заменить словами "учреждения по валютному обмену" в соответствующем падеже, согласно Пост.НБМ N 20 от 24.01.2024, в силу 08.02.2024</w:t>
      </w:r>
    </w:p>
    <w:p w14:paraId="3B535D6D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083401CE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На основании части (1) ст.11, п.с) части (1) ст.27 и п.b) ст.51 Закона о Национальном банке Молдовы № 548-XIII от 21 июля 1995 (повторное опубликование: Официальный монитор Республики Молдова, 2015, № 297-300, ст.544), части (3) и части (14) ст.13, п.а) части (2) ст.15 Закона о предупреждении и борьбе с отмыванием денег и финансированием терроризма № 308 от 22 декабря 2017 (Официальный монитор Республики Молдова, 2018, № 58-66, ст.133), Исполнительный комитет Национального банка Молдовы</w:t>
      </w:r>
    </w:p>
    <w:p w14:paraId="4E360231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ПОСТАНОВЛЯЕТ:</w:t>
      </w:r>
    </w:p>
    <w:p w14:paraId="08FF012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Утвердить Регламент о требованиях в области предупреждения и борьбы с отмыванием денег и финансированием терроризма в деятельности учреждения по валютному обмену, согласно Приложению.</w:t>
      </w:r>
    </w:p>
    <w:p w14:paraId="39DBBF2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Настоящее постановление вступает в силу в день опубликования в Официальном мониторе Республики Молдова.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6"/>
        <w:gridCol w:w="1853"/>
      </w:tblGrid>
      <w:tr w:rsidR="007113B5" w:rsidRPr="007113B5" w14:paraId="1E131E7E" w14:textId="77777777" w:rsidTr="00711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14:paraId="3E405B43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ПРЕДСЕДАТЕЛЬ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F9DFFF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</w:p>
        </w:tc>
      </w:tr>
      <w:tr w:rsidR="007113B5" w:rsidRPr="007113B5" w14:paraId="7E23FAC9" w14:textId="77777777" w:rsidTr="00711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14:paraId="5E858DFB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ИСПОЛНИТЕЛЬНОГО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A4B797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</w:p>
        </w:tc>
      </w:tr>
      <w:tr w:rsidR="007113B5" w:rsidRPr="007113B5" w14:paraId="1ED5259C" w14:textId="77777777" w:rsidTr="007113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14:paraId="4558F68B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НАЦИОНАЛЬНОГО БАНКА МОЛДОВЫ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F7005A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Серджиу ЧОКЛЯ</w:t>
            </w:r>
          </w:p>
        </w:tc>
      </w:tr>
      <w:tr w:rsidR="007113B5" w:rsidRPr="007113B5" w14:paraId="7FD39456" w14:textId="77777777" w:rsidTr="007113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8" w:type="dxa"/>
              <w:bottom w:w="24" w:type="dxa"/>
              <w:right w:w="48" w:type="dxa"/>
            </w:tcMar>
            <w:hideMark/>
          </w:tcPr>
          <w:p w14:paraId="72108BE4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№ 201. Кишинэу, 9 августа 2018 г.</w:t>
            </w:r>
          </w:p>
        </w:tc>
      </w:tr>
    </w:tbl>
    <w:p w14:paraId="72EE9C0D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46E5A5D1" w14:textId="77777777" w:rsidR="007113B5" w:rsidRPr="007113B5" w:rsidRDefault="007113B5" w:rsidP="007113B5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Приложение</w:t>
      </w:r>
    </w:p>
    <w:p w14:paraId="73172FF2" w14:textId="77777777" w:rsidR="007113B5" w:rsidRPr="007113B5" w:rsidRDefault="007113B5" w:rsidP="007113B5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К Постановлению Исполнительного комитета</w:t>
      </w:r>
    </w:p>
    <w:p w14:paraId="5B973BC4" w14:textId="77777777" w:rsidR="007113B5" w:rsidRPr="007113B5" w:rsidRDefault="007113B5" w:rsidP="007113B5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lastRenderedPageBreak/>
        <w:t>Национального банка Молдовы</w:t>
      </w:r>
    </w:p>
    <w:p w14:paraId="53DCBAEC" w14:textId="77777777" w:rsidR="007113B5" w:rsidRPr="007113B5" w:rsidRDefault="007113B5" w:rsidP="007113B5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№ 201 от 9 августа 2018</w:t>
      </w:r>
    </w:p>
    <w:p w14:paraId="55FBDF14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3AA9D8F5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РЕГЛАМЕНТ</w:t>
      </w:r>
    </w:p>
    <w:p w14:paraId="20F50EEA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о требованиях в области предупреждения и борьбы</w:t>
      </w:r>
    </w:p>
    <w:p w14:paraId="7449EDAA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с отмыванием денег и финансированием терроризма</w:t>
      </w:r>
    </w:p>
    <w:p w14:paraId="532F779C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в деятельности учреждения по валютному обмену</w:t>
      </w:r>
    </w:p>
    <w:p w14:paraId="5F0C8864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7ED953AB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Глава I</w:t>
      </w:r>
    </w:p>
    <w:p w14:paraId="726BC42C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ОБЩИЕ ПОЛОЖЕНИЯ</w:t>
      </w:r>
    </w:p>
    <w:p w14:paraId="2B51D255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Регламент о требованиях в области предупреждения и борьбы с отмыванием денег и финансированием терроризма в деятельности учреждения по валютному обмену (далее – Регламент) устанавливает правила по: разработке внутренней программы, применению требований предосторожности в отношении клиентов, в том числе мер повышенной предосторожности; хранению данных; отчетности о подозрительных действиях и транзакциях; выполнению элементов по системе внутреннего контроля, а также других требований в целях минимизации рисков, связанных с отмыванием денег и финансированием терроризма.</w:t>
      </w:r>
    </w:p>
    <w:p w14:paraId="7CFED49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Субъектами настоящего Регламента являются учреждения по валютному обмену, которые осуществляют наличные обменные валютные операции с физическими лицами.</w:t>
      </w:r>
    </w:p>
    <w:p w14:paraId="572E1977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[Пкт.2 в редакции Пост.НБМ N 20 от 24.01.2024, в силу 08.02.2024]</w:t>
      </w:r>
    </w:p>
    <w:p w14:paraId="1E93D30F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28149E59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При осуществлении обменных валютных операций посредством валютообменного аппарата, учреждения по валютному обмену обеспечивают соблюдение требований, предусмотренных Законом о валютном регулировании № 62-XVI от 21 марта 2008 г. и настоящим Регламентом.</w:t>
      </w:r>
    </w:p>
    <w:p w14:paraId="3A0B8324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В настоящем Регламенте используются понятия и выражения, определенные Законом о предупреждении и борьбе с отмыванием денег и финансированием терроризма № 308 от 22 декабря 2017 г., Законом о валютном регулировании № 62-XVI от 21 марта 2008 г. и другими нормативными актами, изданными Национальным банком Молдовы и Службой по предупреждению и борьбе с отмыванием денег, связанные с областью предупреждения и борьбы с отмыванием денег и финансированием терроризма.</w:t>
      </w:r>
    </w:p>
    <w:p w14:paraId="66B2C881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73C2E130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Глава II</w:t>
      </w:r>
    </w:p>
    <w:p w14:paraId="1645F6F6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ТРЕБОВАНИЯ К ВНУТРЕННЕЙ ПРОГРАММЕ ПО</w:t>
      </w:r>
    </w:p>
    <w:p w14:paraId="151FED0C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ПРЕДУПРЕЖДЕНИЮ И БОРЬБЕ С ОТМЫВАНИЕМ</w:t>
      </w:r>
    </w:p>
    <w:p w14:paraId="04D5A940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ДЕНЕГ И ФИНАНСИРОВАНИЕМ ТЕРРОРИЗМА И</w:t>
      </w:r>
    </w:p>
    <w:p w14:paraId="13CA9F18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ОЦЕНКА РИСКОВ, СВЯЗАННЫХ С ОТМЫВАНИЕМ</w:t>
      </w:r>
    </w:p>
    <w:p w14:paraId="5F4620F3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ДЕНЕГ И ФИНАНСИРОВАНИЕМ ТЕРРОРИЗМА</w:t>
      </w:r>
    </w:p>
    <w:p w14:paraId="206B0430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[Название гл.II дополнено Пост.НБМ N 38 от 11.03.2021, в силу 02.07.2021]</w:t>
      </w:r>
    </w:p>
    <w:p w14:paraId="448C6D38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5A46D7A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5.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разрабатывают и внедряют собственную программу для предупреждения и борьбы с отмыванием денег и финансированием терроризма (далее – Программа ПБОДФТ).</w:t>
      </w:r>
    </w:p>
    <w:p w14:paraId="6ACB36F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6.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Программа ПБОДФТ представляет собой политики, методы, практики, процедуры и другие правила и практики, включая правила по знанию клиента, которые предупреждают использование учреждения по валютному обмену в целях отмывания денег или финансирования терроризма, намеренно или нет, организованными преступными группировками или их соучастниками.</w:t>
      </w:r>
    </w:p>
    <w:p w14:paraId="1108AF20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[Пкт.6 дополнен Пост.НБМ N 20 от 24.01.2024, в силу 08.02.2024]</w:t>
      </w:r>
    </w:p>
    <w:p w14:paraId="153308D0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61E5D127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lastRenderedPageBreak/>
        <w:t>7.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При разработке Программы ПБОДФТ учреждения по валютному обмену будут руководствоваться положениями Закона № 308 от 22 декабря 2017 г. о предупреждении и борьбе с отмыванием денег и финансированием терроризма, настоящего Регламента и другими нормативными актами, изданными Службой по предупреждению и борьбе с отмыванием денег для внедрения указанного закона. Учреждения по валютному обмену осуществят адаптацию требования Программы ПБОДФТ к специфике своей деятельности. Внутренняя программа утверждается ответственным лицом с функциями руководителя высшего звена учреждения по валютному обмену.</w:t>
      </w:r>
    </w:p>
    <w:p w14:paraId="4895AAD8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[Пкт.7 дополнен Пост.НБМ N 20 от 24.01.2024, в силу 08.02.2024]</w:t>
      </w:r>
    </w:p>
    <w:p w14:paraId="30C80CF7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05A63A2C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8.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Программа ПБОДФТ, разработанная обменной валютной кассой и гостиницей, должна предусматривать, но не ограничиваться следующим:</w:t>
      </w:r>
    </w:p>
    <w:p w14:paraId="551266AD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1) обязательства руководителя высшего звена, ответственного за обеспечение соответствия политик и процедур законным требованиям по предупреждению и борьбе с отмыванием денег и финансированием терроризма согласно пункта 42 настоящего Регламента;</w:t>
      </w:r>
    </w:p>
    <w:p w14:paraId="3DF9D9A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2) политики и процедуры по мерам предосторожности относительно клиентов;</w:t>
      </w:r>
    </w:p>
    <w:p w14:paraId="351EED1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3) политики и процедуры по повышенным мерам предосторожности для клиентов и операций с повышенной степенью риска, в том числе для политически уязвимых лиц;</w:t>
      </w:r>
    </w:p>
    <w:p w14:paraId="7E79C7D7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4) процедуры разработки и обновления списка лиц, групп и субъектов, вовлеченных в террористические деятельности;</w:t>
      </w:r>
    </w:p>
    <w:p w14:paraId="20F4906C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5) процедуры по ведению учета и хранению информации;</w:t>
      </w:r>
    </w:p>
    <w:p w14:paraId="615548E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6) процедуры по идентификации и представления отчета о подозрительной деятельности и сделках по отмыванию денег или финансированию терроризма, или несоблюдении действующего законодательства или внутренних процедур, руководителю высшего звена и Службе по предупреждению и борьбе с отмыванием денег;</w:t>
      </w:r>
    </w:p>
    <w:p w14:paraId="1FDA1B8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6</w:t>
      </w:r>
      <w:r w:rsidRPr="007113B5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) определение механизма защиты лиц, ответственных за обеспечение соответствия, и сотрудников, сообщающих о нарушениях законодательства о предотвращении и борьбе с отмыванием денег и финансированием терроризма;</w:t>
      </w:r>
    </w:p>
    <w:p w14:paraId="0D5E2B69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7) установление соответствующих процедур для отбора персонала и требований при приеме на работу сотрудников для обеспечения его профессионализма;</w:t>
      </w:r>
    </w:p>
    <w:p w14:paraId="70B4252C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8) осуществление независимого аудита по тестированию соответствия учреждения по валютному обмену политикам, процедурам, внутренние проверки в области предупреждения и борьбы с отмыванием денег и финансированием терроризма.</w:t>
      </w:r>
    </w:p>
    <w:p w14:paraId="4A02F482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[Пкт.8 дополнен Пост.НБМ N 20 от 24.01.2024, в силу 08.02.2024]</w:t>
      </w:r>
    </w:p>
    <w:p w14:paraId="6E6AEBE0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16E7E99D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9.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пересматривают (обновляют), всякий раз, когда это необходимо, программу ПБОДФТ, но не менее одного раза в год, учитывая положения законодательства.</w:t>
      </w:r>
    </w:p>
    <w:p w14:paraId="59F9DB9D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10.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Учреждение по валютному обмену хранит один экземпляр Программы ПБОДФТ в помещении учреждения по валютному обмену (его отделения, обменного валютного пункта). Учреждение по валютному обмену обеспечит оперативный и неограниченный доступ к Программе ПБОДФТ высшему должностному лицу/директору отделения, кассиру, а также надзорному органу.</w:t>
      </w:r>
    </w:p>
    <w:p w14:paraId="616AFCFC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[Пкт.10 в редакции Пост.НБМ N 20 от 24.01.2024, в силу 08.02.2024]</w:t>
      </w:r>
    </w:p>
    <w:p w14:paraId="60783F6A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0025A69E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10</w:t>
      </w: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Учреждение по валютному обмену выявляет и оценивает, принимая во внимание оценку риска на национальном уровне, а также критерии и факторы 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lastRenderedPageBreak/>
        <w:t>риска, установленные в этой связи Национальным банком Молдовы и Службой по предотвращению и борьбе с отмыванием денег, риски отмывания денег и финансирования терроризма в собственной сфере деятельности, результаты оценки утверждаются высшим должностным лицом, ответственным за обеспечение соответствия внутренней политики и процедур требованиям законодательства в области предотвращения и борьбы с отмыванием денег и финансированием терроризма. Оценка должна обновляться ежегодно и после каждой оценки рисков отмывания денег и финансирования терроризма, проводимой на национальном уровне, а также при установлении критериев и факторов риска Национальным банком Молдовы и Службой по предотвращению и борьбе с отмыванием денег. Учреждение по валютному обмену применяет в зависимости от степени риска, в том числе с учетом типа клиента и типа валютной операции, стандартные, упрощенные или усиленные меры предосторожности.</w:t>
      </w:r>
    </w:p>
    <w:p w14:paraId="3F75BE76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[Пкт.10</w:t>
      </w:r>
      <w:r w:rsidRPr="007113B5">
        <w:rPr>
          <w:rFonts w:ascii="Arial" w:eastAsia="Times New Roman" w:hAnsi="Arial" w:cs="Arial"/>
          <w:i/>
          <w:iCs/>
          <w:color w:val="663300"/>
          <w:kern w:val="0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в редакции Пост.НБМ N 20 от 24.01.2024, в силу 08.02.2024]</w:t>
      </w:r>
    </w:p>
    <w:p w14:paraId="23187E27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[Пкт.10</w:t>
      </w:r>
      <w:r w:rsidRPr="007113B5">
        <w:rPr>
          <w:rFonts w:ascii="Arial" w:eastAsia="Times New Roman" w:hAnsi="Arial" w:cs="Arial"/>
          <w:i/>
          <w:iCs/>
          <w:color w:val="663300"/>
          <w:kern w:val="0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введен Пост.НБМ N 38 от 11.03.2021, в силу 02.07.2021]</w:t>
      </w:r>
    </w:p>
    <w:p w14:paraId="7DAC5264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56E1B752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Глава III</w:t>
      </w:r>
    </w:p>
    <w:p w14:paraId="2C429B55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МЕРЫ ПРЕДОСТОРОЖНОСТИ В ОТНОШЕНИИ КЛИЕНТОВ</w:t>
      </w:r>
    </w:p>
    <w:p w14:paraId="124DDDDB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11.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Учреждение по валютному обмену применяет меры по предосторожности в отношении клиента – физического лица, осуществляющего операцию по обмену валюты в его помещении:</w:t>
      </w:r>
    </w:p>
    <w:p w14:paraId="5044C31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1) в случае осуществления валютной обменной операции с наличностью в размере, превышающем 10 000 леев (согласно официальному курсу молдавского лея по отношению к иностранным валютам, действительному на день осуществления валютной обменной операции);</w:t>
      </w:r>
    </w:p>
    <w:p w14:paraId="78FD53D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2) при наличии подозрений в отмывании денег или финансировании терроризма;</w:t>
      </w:r>
    </w:p>
    <w:p w14:paraId="298592E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3) при наличии сомнений в достоверности, достаточности и точности полученных ранее идентификационных данных.</w:t>
      </w:r>
    </w:p>
    <w:p w14:paraId="04618C40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[Пкт.11 изменен Пост.НБМ N 20 от 24.01.2024, в силу 08.02.2024]</w:t>
      </w:r>
    </w:p>
    <w:p w14:paraId="2D4E2F0B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2B6F90E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12.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При применении стандартных мер предосторожности к физическому лицу в случаях, предусмотренных пунктом 11, учреждение по валютному обмену получает:</w:t>
      </w:r>
    </w:p>
    <w:p w14:paraId="721630C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1) фамилия и имя;</w:t>
      </w:r>
    </w:p>
    <w:p w14:paraId="585A13BD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2) дата и место рождения;</w:t>
      </w:r>
    </w:p>
    <w:p w14:paraId="12B4249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3) гражданство и данные документа, удостоверяющего личность (IDNP, серия и номер, дата выдачи, код органа, выдавшего документ (если существует) или другие показатели документа, удостоверяющего личность, содержащего фотографию владельца);</w:t>
      </w:r>
    </w:p>
    <w:p w14:paraId="23EC49B0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4) домашний адрес и/или адрес проживания;</w:t>
      </w:r>
    </w:p>
    <w:p w14:paraId="3AD3AB7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5) занятие, занимаемая должность и/или название/фамилия работодателя;</w:t>
      </w:r>
    </w:p>
    <w:p w14:paraId="65650B54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6) информация об источнике денежных средств;</w:t>
      </w:r>
    </w:p>
    <w:p w14:paraId="70708A54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6</w:t>
      </w:r>
      <w:r w:rsidRPr="007113B5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) идентификация выгодоприобретающего собственника;</w:t>
      </w:r>
    </w:p>
    <w:p w14:paraId="2877992D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7) другие данные и сведения, в случае необходимости.</w:t>
      </w:r>
    </w:p>
    <w:p w14:paraId="0F3C131D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[Пкт.12 изменен Пост.НБМ N 20 от 24.01.2024, в силу 08.02.2024]</w:t>
      </w:r>
    </w:p>
    <w:p w14:paraId="0EB6091E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7888859C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13.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идентифицируют выгодоприобретающего собственника клиента и применяют резонные меры, основанные на рисках, по проверке его личности, используя документы, информацию и данные, полученные из достоверных источников, таким образом, чтобы была уверенность, что знают, кто является выгодоприобретающим собственником.</w:t>
      </w:r>
    </w:p>
    <w:p w14:paraId="287A96FA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lastRenderedPageBreak/>
        <w:t>[Пкт.13 изменен Пост.НБМ N 38 от 11.03.2021, в силу 02.07.2021]</w:t>
      </w:r>
    </w:p>
    <w:p w14:paraId="01FEBE7B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24DE1701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14.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определяют, если лицо, осуществляющее валютную обменную операции, действует от своего имени, а в случае, когда операция осуществляется уполномоченным лицом, учреждения по валютному обмену запрашивают доверенность, заверенную в установленном законодательством порядке. Учреждения по валютному обмену применяют меры по идентификации лица в соответствии с положениями пункта 12 настоящего Регламента.</w:t>
      </w:r>
    </w:p>
    <w:p w14:paraId="77253C2E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[Пкт.14 изменен Пост.НБМ N 20 от 24.01.2024, в силу 08.02.2024]</w:t>
      </w:r>
    </w:p>
    <w:p w14:paraId="6A82B81B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33DDC657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15.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При идентификации клиента учреждения по валютному обмену проверяют представленную информацию, касающуюся как клиента, так и выгодоприобретающего собственника, до осуществления валютной обменной операции.</w:t>
      </w:r>
    </w:p>
    <w:p w14:paraId="5E0ECBF9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16.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В целях проверки представленной информации, при идентификации клиента и выгодоприобретающего собственника учреждения по валютному обмену требуют представление документа, удостоверяющего личность клиента. Таким образом, учреждения по валютному обмену осуществляют:</w:t>
      </w:r>
    </w:p>
    <w:p w14:paraId="78B3FD8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1) проверку соответствия фотографии из удостоверяющего личность документа с личностью физического лица, которое предъявило этот документ;</w:t>
      </w:r>
    </w:p>
    <w:p w14:paraId="2C11F75D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2) проверку соответствия информации, представленной согласно положениям пункта 12 и 12</w:t>
      </w:r>
      <w:r w:rsidRPr="007113B5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.</w:t>
      </w:r>
    </w:p>
    <w:p w14:paraId="484B8406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[Пкт.16 дополнен Пост.НБМ N 20 от 24.01.2024, в силу 08.02.2024]</w:t>
      </w:r>
    </w:p>
    <w:p w14:paraId="1414C0D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7B367F5F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16</w:t>
      </w: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Идентификация лица, гражданина Республики Молдова, и проверка данных, представленных для идентификации, могут осуществляться на основании паспорта, когда операцию обмена валюты осуществляет учреждение по валютному обмену, действующее в непосредственной близости от пунктов пересечения государственной границы и, если стоимость операции не превышает 20 000 леев (или их эквивалента).</w:t>
      </w:r>
    </w:p>
    <w:p w14:paraId="74C1511A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[Пкт.16</w:t>
      </w:r>
      <w:r w:rsidRPr="007113B5">
        <w:rPr>
          <w:rFonts w:ascii="Arial" w:eastAsia="Times New Roman" w:hAnsi="Arial" w:cs="Arial"/>
          <w:i/>
          <w:iCs/>
          <w:color w:val="663300"/>
          <w:kern w:val="0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введен Пост.НБМ N 20 от 24.01.2024, в силу 08.02.2024]</w:t>
      </w:r>
    </w:p>
    <w:p w14:paraId="37513A5F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423925F4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17.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Документы, представленные в целях идентификации клиента и выгодоприобретающего собственника, а также в целях проверки их личности, представляются в оригинале и должны быть действительными на день их представления.</w:t>
      </w:r>
    </w:p>
    <w:p w14:paraId="2571DA8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18.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не осуществляют валютную обменную операцию, если не могут обеспечить соблюдение требований пунктов 12-16 и 23. Учреждения по валютному обмену информируют Службу по предупреждению и борьбе с отмыванием денег о данных обстоятельствах, в соответствии с положениями законодательства.</w:t>
      </w:r>
    </w:p>
    <w:p w14:paraId="1BD8710A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[Пкт.18 дополнен Пост.НБМ N 20 от 24.01.2024, в силу 08.02.2024]</w:t>
      </w:r>
    </w:p>
    <w:p w14:paraId="59754EDE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045F8A5F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19.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составят, заполнят и обновят сведения о идентифицированных физических лицах в специальном регистре, разработанном в соответствии с приложением № 1 к настоящему Регламенту.</w:t>
      </w:r>
    </w:p>
    <w:p w14:paraId="604C0B51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20.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Регистр идентифицированных физических лиц, составленный в соответствии с пунктом 19, подписывается руководителем высшего звена/директором отделения, ответственного за обеспечение соответствия политик и процедур с законными требованиями по предупреждению и борьбе с отмыванием денег и финансированием терроризма, и хранится в помещении учреждения по валютному обмену. Руководитель высшего звена/директором 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lastRenderedPageBreak/>
        <w:t>отделения, кассир, а также и надзорные органы будут иметь доступ к регистру идентифицированных лиц.</w:t>
      </w:r>
    </w:p>
    <w:p w14:paraId="605B1417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[Пкт.20 дополнен Пост.НБМ N 38 от 11.03.2021, в силу 02.07.2021]</w:t>
      </w:r>
    </w:p>
    <w:p w14:paraId="211EA540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2FB65B7F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21.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могут располагать и использовать и другие документы/регистры, в соответствии с пунктом 42 Регламента о деятельности учреждений по валютному обмену, утвержденного Постановлением Исполнительного комитета Национального банка Молдовы № 335 от 1 декабря 2016 г., которые обеспечивают доступность информации об идентификации и проверке клиента – физического лица, осуществляющего обменные валютные операции.</w:t>
      </w:r>
    </w:p>
    <w:p w14:paraId="01E0E969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22.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Достоверность информации, из Регистра идентифицированных физических лиц, составленном согласно пункту 19, обеспечивается высшим должностным лицом.</w:t>
      </w:r>
    </w:p>
    <w:p w14:paraId="2C67258E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[Пкт.22 изменен Пост.НБМ N 20 от 24.01.2024, в силу 08.02.2024]</w:t>
      </w:r>
    </w:p>
    <w:p w14:paraId="0C188C3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24C7B30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23.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осуществляют постоянный мониторинг операций, осуществляемых клиентами, для определения тех операций, которые осуществляются в значительных суммах и необычным способом, которые могут порождать риски по отмыванию денег и финансированию терроризма.</w:t>
      </w:r>
    </w:p>
    <w:p w14:paraId="1C2B20D5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3D973B55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Глава IV</w:t>
      </w:r>
    </w:p>
    <w:p w14:paraId="6DCC0F4E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МЕРЫ ПОВЫШЕННОЙ ПРЕДОСТОРОЖНОСТИ</w:t>
      </w:r>
    </w:p>
    <w:p w14:paraId="487424F6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В ОТНОШЕНИИ КЛИЕНТОВ</w:t>
      </w:r>
    </w:p>
    <w:p w14:paraId="2ABAD480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24.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применяют меры повышенной предосторожности, устанавливая их объем в зависимости от риска, определяемого типом клиента и/или объема осуществленной обменной валютной операции, учитывая национальную оценку рисков в области и положения Закона о предупреждении и борьбе с отмыванием денег и финансированием терроризма № 308 от 22 декабря 2017 г.</w:t>
      </w:r>
    </w:p>
    <w:p w14:paraId="5C76F1E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25.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при применении требований пункта 24 получают сведения о цели операции, источнике денежных средств, а также другие данные, учитывая положения части (2) ст.8 Закона о предупреждении и борьбе с отмыванием денег и финансированием терроризма № 308 от 22 декабря 2017 г.</w:t>
      </w:r>
    </w:p>
    <w:p w14:paraId="5A2A84EE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26.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учитывает следующие факторы, которые генерируют повышенный риск в контексте обменных валютных операций:</w:t>
      </w:r>
    </w:p>
    <w:p w14:paraId="2C3A74C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1) клиент является резидентом страны и/или юрисдикции, которая, в соответствии с достоверными источниками (взаимные оценки, подробные отчеты об оценке или опубликованные отчеты о мониторинге), не располагает эффективными системами по борьбе с отмыванием денег и финансированием терроризма;</w:t>
      </w:r>
    </w:p>
    <w:p w14:paraId="599ED9B9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2) клиент является резидентом страны и/или юрисдикции, которая, в соответствии с достоверными источниками, представляет высокий уровень коррупции и преступности;</w:t>
      </w:r>
    </w:p>
    <w:p w14:paraId="3E13697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3) клиент является резидентом страны и/или юрисдикции, в отношении которой профильными международными организациями введены санкции, эмбарго или другие аналогичные меры, в соответствии с обязательствами, взятыми на себя Республикой Молдова;</w:t>
      </w:r>
    </w:p>
    <w:p w14:paraId="09C20394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4) клиент является резидентом страны и/или юрисдикции, которая предоставляет финансирование или поддержку террористической деятельности или на территории которых действуют установленные террористические организации;</w:t>
      </w:r>
    </w:p>
    <w:p w14:paraId="730FF637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lastRenderedPageBreak/>
        <w:t>5) клиент является политически уязвимым лицом;</w:t>
      </w:r>
    </w:p>
    <w:p w14:paraId="466597B0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6) клиент повторно требует валютного обмена сумм, находящихся близко к порогу обязанности по отчетности и/или идентификации, в короткий период времени;</w:t>
      </w:r>
    </w:p>
    <w:p w14:paraId="42791095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7) клиент часто покупает или продает в значительных пропорциях иностранную валюту в обмен на национальную денежную единицу или иную иностранную валюту;</w:t>
      </w:r>
    </w:p>
    <w:p w14:paraId="397DEF35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8) клиент обменивает в большом количестве банкноты небольшого достоинства на банкноты большего достоинства;</w:t>
      </w:r>
    </w:p>
    <w:p w14:paraId="2F4E9E3E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8</w:t>
      </w:r>
      <w:r w:rsidRPr="007113B5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) денежные средства, участвующие в валютных операциях, поступают от операций с виртуальными активами;</w:t>
      </w:r>
    </w:p>
    <w:p w14:paraId="76199021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9) прочие идентифицированные факторы риска.</w:t>
      </w:r>
    </w:p>
    <w:p w14:paraId="4DBB3980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[Пкт.26 изменен Пост.НБМ N 20 от 24.01.2024, в силу 08.02.2024]</w:t>
      </w:r>
    </w:p>
    <w:p w14:paraId="2299B28D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7D6396E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27.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ведут учет списков стран, указанных в подп.1)-4) пункта 26, учитывая нормативные акты, изданные Национальным банком Молдовы и Службой по предупреждению и борьбе с отмыванием денег для выполнения положений Закона о предупреждении и борьбе с отмыванием денег и финансированием терроризма № 308 от 22 декабря 2017 г. При проведении обменных валютных операций с физическими лицами в странах (юрисдикциях) с повышенным уровнем риска, назначенные/контролируемые GAFI, помимо повышенных мер предосторожности, предусмотренных в пункте 25, учреждения по валютному обмену применят дополнительные меры для ограничения или непроведения обменных валютных операций с этими лицами. Учреждения по валютному обмену обеспечат усиленный мониторинг операций с физическими лицами из страны (юрисдикции) с повышенным риском и отчетность о подобных операциях в соответствии с положениями ст.11 Закона № 308/2017.</w:t>
      </w:r>
    </w:p>
    <w:p w14:paraId="70A0E0ED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[Пкт.27 изменен Пост.НБМ N 20 от 24.01.2024, в силу 08.02.2024]</w:t>
      </w:r>
    </w:p>
    <w:p w14:paraId="66E1C92D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[Пкт.27 дополнен Пост.НБМ N 38 от 11.03.2021, в силу 02.07.2021]</w:t>
      </w:r>
    </w:p>
    <w:p w14:paraId="7EEF9E8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49A1C9C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28.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при осуществлении обменных валютных операций с политически уязвимыми лицами, членами их семьи и о которых известно, что они являются связанными с ними лицами обеспечивают применение по меньшей мере следующих мер:</w:t>
      </w:r>
    </w:p>
    <w:p w14:paraId="5EC6D997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1) проверяет, в соответствии с специальными списками, если клиент или его выгодоприобретающий собственник является или нет политически уязвимым лицом;</w:t>
      </w:r>
    </w:p>
    <w:p w14:paraId="0D967131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2) запрашивает информацию о членах семьи или лицах, о которых известно, что они являются связанными с политически уязвимым лицом, согласно пункту 12, пп.1)-3);</w:t>
      </w:r>
    </w:p>
    <w:p w14:paraId="5F811787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3) запрашивает дополнительную информацию об источнике имущества и денежных средств, вовлеченных в обменные валютные операции (к примеру: сертификаты, касающиеся заработной платы, договоры аренды или продажи активов, или другие документы).</w:t>
      </w:r>
    </w:p>
    <w:p w14:paraId="76706EC1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Учреждения по валютному обмену должны зарегистрировать полученную информацию для того чтобы сделать ее доступной компетентным органам.</w:t>
      </w:r>
    </w:p>
    <w:p w14:paraId="5255E4B6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[Пкт.28 изменен Пост.НБМ N 20 от 24.01.2024, в силу 08.02.2024]</w:t>
      </w:r>
    </w:p>
    <w:p w14:paraId="44340B09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[Пкт.28 дополнен Пост.НБМ N 38 от 11.03.2021, в силу 02.07.2021]</w:t>
      </w:r>
    </w:p>
    <w:p w14:paraId="1B9827D9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373D5F90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28</w:t>
      </w: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При проведении обменной валютой операции с политически уязвимыми лицами, с членами семей политически уязвимых лиц и с лицами, о которых известно, что они являются связанными с политически уязвимыми лицами, учреждение по валютному обмену применяет повышенные меры 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lastRenderedPageBreak/>
        <w:t>предосторожности, предусмотренные пунктом 28, сроком на 12 месяцев с момента прекращения исполнения важной государственной должности на национальном или международном уровне. По истечении этого периода, на основании оценки риска, которая определяет, представляет ли данное лицо по-прежнему риски, связанные с политически уязвимыми лицами, учреждение по валютному обмену применяет меры предосторожности в соответствии с выявленным риском.</w:t>
      </w:r>
    </w:p>
    <w:p w14:paraId="4887E5D6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[Пкт.28</w:t>
      </w:r>
      <w:r w:rsidRPr="007113B5">
        <w:rPr>
          <w:rFonts w:ascii="Arial" w:eastAsia="Times New Roman" w:hAnsi="Arial" w:cs="Arial"/>
          <w:i/>
          <w:iCs/>
          <w:color w:val="663300"/>
          <w:kern w:val="0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введен Пост.НБМ N 20 от 24.01.2024, в силу 08.02.2024]</w:t>
      </w:r>
    </w:p>
    <w:p w14:paraId="20892A5F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492B3A01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29.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не осуществляют наличные обменные валютные операции в национальной валюте и в иностранной валюте, а также с дорожными чеками в валюте с физическими лицами, вовлеченными в террористическую деятельность и распространении оружия массового поражения. Об отказе осуществления обменной валютной операции учреждения по валютному обмену информируют Службу по предупреждению и борьбе с отмыванием денег, в соответствии с частью (3) ст.5 и частью (4) ст.34 Закона о предупреждении и борьбе с отмыванием денег и финансированием терроризма № 308 от 22 декабря 2017 г.</w:t>
      </w:r>
    </w:p>
    <w:p w14:paraId="1A5D1ABF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[Пкт.29 дополнен Пост.НБМ N 20 от 24.01.2024, в силу 08.02.2024]</w:t>
      </w:r>
    </w:p>
    <w:p w14:paraId="00D7D7D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737F633C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30.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В целях применения пункта 29, учреждения по валютному обмену постоянно отслеживают и используют информацию и данные, предоставленные Службой информации и безопасности и другими органами согласно положениям Закона о предупреждении и борьбе с отмыванием денег и финансированием терроризма № 308 от 22 декабря 2017 г.</w:t>
      </w:r>
    </w:p>
    <w:p w14:paraId="790EEDBB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4CC30AC1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Глава V</w:t>
      </w:r>
    </w:p>
    <w:p w14:paraId="718076A3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ИНФОРМИРОВАНИЕ О ДЕЯТЕЛЬНОСТИ И О СДЕЛКАХ</w:t>
      </w:r>
    </w:p>
    <w:p w14:paraId="685433F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31.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Учреждение по валютному обмену обязано отчитываться перед Службой по предотвращению и борьбе с отмыванием денег в соответствии со ст.11 Закона № 308/2017, о:</w:t>
      </w:r>
    </w:p>
    <w:p w14:paraId="015A622D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1) о сомнительном имуществе, деятельности или сделках, подозрительных в смысле отмывания денег, связанных с ними преступлений и финансирования терроризма, находящихся на этапе подготовки, покушения, совершения или уже совершенных, – незамедлительно, в срок не более 24 часов с идентификации акта или обстоятельств, порождающих подозрения;</w:t>
      </w:r>
    </w:p>
    <w:p w14:paraId="03750ADA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2) о сделках, осуществленных наличными на сумму не менее 200 000 леев (или ее эквивалента), совершенных посредством одной операции или нескольких операций, связанных друг с другом, в течение месяца, начиная с первого дня и заканчивая последним днем месяца, – до 5-го числа месяца, следующего за месяцем, в котором были осуществлены операции.</w:t>
      </w:r>
    </w:p>
    <w:p w14:paraId="3C2E1102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[Пкт.31 в редакции Пост.НБМ N 20 от 24.01.2024, в силу 08.02.2024]</w:t>
      </w:r>
    </w:p>
    <w:p w14:paraId="4E4F4776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[Пкт.31 изменен Пост.НБМ N 324 от 20.12.2018, в силу 04.02.2019]</w:t>
      </w:r>
    </w:p>
    <w:p w14:paraId="52754A44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78AEE8B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32.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располагают:</w:t>
      </w:r>
    </w:p>
    <w:p w14:paraId="6922C8C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1) четкими процедурами, исходя из положений Закона о предупреждении и борьбе с отмыванием денег и финансированием терроризма № 308 от 22 декабря 2017 г., доведенными до сведения всего персонала, которые предусматривают информирование персоналом о всем подозрительном имуществе, деятельности или сделках, подозрительных в смысле отмывания денег, связанных с ними преступлений и финансирования терроризма;</w:t>
      </w:r>
    </w:p>
    <w:p w14:paraId="767CCCA9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2) процедурой обнаружения подозрительных сделок или деятельности согласно критериям и показателям, установленными Службой по предупреждению и борьбе с отмыванием денег;</w:t>
      </w:r>
    </w:p>
    <w:p w14:paraId="2CC457D9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lastRenderedPageBreak/>
        <w:t>3) процедурой информирования руководителя высшего звена о проблемах, связанных с предупреждением и борьбой с отмыванием денег и финансированием терроризма.</w:t>
      </w:r>
    </w:p>
    <w:p w14:paraId="036ADB67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33.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Специальные формуляры, адресованные Службе по предупреждению и борьбе с отмыванием денег, должны составляться с учетом положений частей (6), (8), ст.11 Закона о предупреждении и борьбе с отмыванием денег и финансированием терроризма № 308 от 22 декабря 2017 г.</w:t>
      </w:r>
    </w:p>
    <w:p w14:paraId="356FC168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[Пкт.33 изменен Пост.НБМ N 20 от 24.01.2024, в силу 08.02.2024]</w:t>
      </w:r>
    </w:p>
    <w:p w14:paraId="1B5B751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1EA7EA0B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34.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заполнят, поддержат и обновят информацию об операциях, адресованных Службе по предупреждению и борьбе с отмыванием денег в специальном регистре, разработанным в соответствии с приложением № 2 к настоящему Регламенту.</w:t>
      </w:r>
    </w:p>
    <w:p w14:paraId="2ACA770C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35.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Регистр об операциях, адресованный Службе по предупреждению и борьбе с отмыванием денег, составленный согласно пункту 34, подписывается руководителем высшего звена, ответственного за обеспечение соответствия политик и процедур законным требованиям по предупреждению и борьбе с отмыванием денег и финансированием терроризма, и хранится в помещении кассы валютного обмена и гостиницы. Руководитель высшего звена, кассир, а также и надзорные органы будут иметь доступ к Регистру об операциях, адресованных Службе по предупреждению и борьбе с отмыванием денег.</w:t>
      </w:r>
    </w:p>
    <w:p w14:paraId="3445D30A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75BDEBA4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Глава VI</w:t>
      </w:r>
    </w:p>
    <w:p w14:paraId="1205D796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ХРАНЕНИЕ ДАННЫХ</w:t>
      </w:r>
    </w:p>
    <w:p w14:paraId="052C4347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36.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хранят все документы, данные и информацию о клиентах и выгодоприобретающих собственниках, полученные в рамках мер предосторожности в отношении клиентов, в том числе копии идентификационных документов, первичных документов, деловую корреспонденцию, результаты осуществленных анализов и исследований, специальные формуляры и деловую корреспонденцию с компетентными органами в течение 5 лет с даты проведения обменной валютной операции. Сохраняемых данных должно быть достаточно, чтобы можно было восстановить каждую деятельность или сделку (включая объем, валюту и т. д.). Таким образом, чтобы в случае необходимости служить доказательством в уголовных, административных и других судебных процессах.</w:t>
      </w:r>
    </w:p>
    <w:p w14:paraId="0E1DAD99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[Пкт.36 изменен Пост.НБМ N 20 от 24.01.2024, в силу 08.02.2024]</w:t>
      </w:r>
    </w:p>
    <w:p w14:paraId="23997FE7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[Пкт.36 в редакции Пост.НБМ N 38 от 11.03.2021, в силу 02.07.2021]</w:t>
      </w:r>
    </w:p>
    <w:p w14:paraId="52CC990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0E17B920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37.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Правила и процедуры, касающиеся учета и хранения информации об операциях с идентифицированными клиентами, должны содержать, по меньшей мере, следующее:</w:t>
      </w:r>
    </w:p>
    <w:p w14:paraId="3F25C5B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1) предмет учета;</w:t>
      </w:r>
    </w:p>
    <w:p w14:paraId="271E9CBA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2) содержание учета (записей);</w:t>
      </w:r>
    </w:p>
    <w:p w14:paraId="5C6F5B9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3) время осуществления записей;</w:t>
      </w:r>
    </w:p>
    <w:p w14:paraId="3719AFC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4) сроки хранения информации и документов.</w:t>
      </w:r>
    </w:p>
    <w:p w14:paraId="6F7881A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38.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обеспечат, в случае запроса, доступ Национальному банку Молдовы и Службе по предупреждению и борьбе с отмыванием денег к документам и информации об идентификации и проверке клиентов, выгодоприобретающего собственника, а также и к другим данным/информациям. По требованию компетентных органов срок владения и хранения информации, связанной с клиентами и их операциями, может быть продлен на период, указанный в запросе, но не более 5 лет.</w:t>
      </w:r>
    </w:p>
    <w:p w14:paraId="7D12341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lastRenderedPageBreak/>
        <w:t>39.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В целях выполнения обязательств в области предупреждения и борьбы с отмыванием денег и финансированием терроризма, учреждения по валютному обмену обеспечат доступ кассирам/лицам, которые согласно должностным обязанностям имеют право доступа к данным по идентификации клиентов и другой соответствующей информации. Сотрудники обменного пункта валюты и гостиницы обязаны хранить конфиденциальность информации, полученной в ходе выполнения своих служебных обязанностей.</w:t>
      </w:r>
    </w:p>
    <w:p w14:paraId="3E652328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4902966A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Глава VII</w:t>
      </w:r>
    </w:p>
    <w:p w14:paraId="03513508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ТРЕБОВАНИЯ ПО СИСТЕМЕ ВНУТРЕННЕГО КОНТРОЛЯ</w:t>
      </w:r>
    </w:p>
    <w:p w14:paraId="5D6C232F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40.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должны иметь систему внутреннего контроля, которая обеспечит непрерывное соответствие с нормативными актами и Программой ПБОДФТ, то что поможет минимизировать связанные с этим риски.</w:t>
      </w:r>
    </w:p>
    <w:p w14:paraId="188EB385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41.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Основными элементами системы внутреннего контроля являются:</w:t>
      </w:r>
    </w:p>
    <w:p w14:paraId="3589BFF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1) назначение руководителя высшего звена, ответственного за обеспечение соответствия внутренних политик и процедур требованиям законодательства в области предупреждения и борьбы с отмыванием денег и финансированием терроризма, постоянного выполнения Программы ПБОДФТ;</w:t>
      </w:r>
    </w:p>
    <w:p w14:paraId="00957D7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2) определение программы непрерывного обучения персонала в области предупреждения и борьбы с отмыванием денег и финансированием терроризма;</w:t>
      </w:r>
    </w:p>
    <w:p w14:paraId="01FAC37B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3) меры, которые будут применяться к персоналу, которые не выполняют требования законодательства в области предупреждения и борьбы с отмыванием денег и финансированием терроризма и Программы ПБОДФТ.</w:t>
      </w:r>
    </w:p>
    <w:p w14:paraId="0C29EE39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42.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Руководитель высшего звена должен иметь как минимум следующие полномочия:</w:t>
      </w:r>
    </w:p>
    <w:p w14:paraId="3FA4C9F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1) предоставление консультаций и организация обучения работников учреждения по валютному обмену в рамках выполнения требований в области предупреждения и борьбы с отмыванием денег и финансированием терроризма;</w:t>
      </w:r>
    </w:p>
    <w:p w14:paraId="2FE4342F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2) принятия решения о передаче специальных формуляров в адрес Службы по предупреждению и борьбе с отмыванием денег и другим уполномоченным органам;</w:t>
      </w:r>
    </w:p>
    <w:p w14:paraId="60B2C5B1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3) сотрудничество со Службой по предупреждению и борьбе с отмыванием денег и другими уполномоченными органами;</w:t>
      </w:r>
    </w:p>
    <w:p w14:paraId="4556F03E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4) осуществление контроля за соблюдением работниками учреждения по валютному обмену положений законодательства и Программы ПБОДФТ.</w:t>
      </w:r>
    </w:p>
    <w:p w14:paraId="334B454E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43.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Программа непрерывного обучения персонала в области предупреждения и борьбы с отмыванием денег и финансированием терроризма должна включать все аспекты, касающиеся процесса предупреждения и борьбы с отмыванием денег и финансированием терроризма (идентификация и проверка клиентов, мониторинг операций, идентификация клиентов с повышенной степенью риска и информирование подозрительных операций). Периодичность и конкретное содержание занятий должны быть адаптированы к потребностям учреждения по валютному обмену. Занятия должны проводиться одновременно с изменением законодательства или Программы по предупреждению и борьбе с отмыванием денег и финансированием терроризма, но не реже одного раза в год.</w:t>
      </w:r>
    </w:p>
    <w:p w14:paraId="69AE7F73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Руководитель высшего звена должен вести учет проведенных занятий, осуществляя записи о дате и характере занятия, именах и фамилиях работников, которые прошли обучение.</w:t>
      </w:r>
    </w:p>
    <w:p w14:paraId="665C4EDE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44.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Учреждения по валютному обмену должны обеспечить, чтобы их работники и руководитель высшего звена владели соответствующими знаниями, качествами, в том числе репутационными, и навыками для эффективного 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lastRenderedPageBreak/>
        <w:t>выполнения обязательств по соответствию требованиям по предупреждению и борьбе с отмыванием денег и финансированием терроризма.</w:t>
      </w:r>
    </w:p>
    <w:p w14:paraId="7E4A90A8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[Пкт.44 дополнен Пост.НБМ N 20 от 24.01.2024, в силу 08.02.2024]</w:t>
      </w:r>
    </w:p>
    <w:p w14:paraId="0D9C8075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47F8D30F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45.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Программа по осуществлению аудита касательно соответствия деятельности учреждения по валютному обмену требованиям законодательства в области предупреждения и борьбы с отмыванием денег и финансированием терроризма и Программы ПБОДФТ, должна предусматривать как минимум, кто осуществляет соответствующий аудит, периодичность осуществления аудита принимая во внимание риск отмывания денег и финансирования терроризма, задачи аудита и порядок информирования руководителя высшего звена о полученных результатах.</w:t>
      </w:r>
    </w:p>
    <w:p w14:paraId="2FC5B60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46.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Аудит может быть осуществлен как персоналом учреждения по валютному обмену, ответственным за внутренний аудит, так и внешним независимым аудитором.</w:t>
      </w:r>
    </w:p>
    <w:p w14:paraId="4EE4DA46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3C967DF4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46</w:t>
      </w: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Учреждение по валютному обмену хранит один экземпляр Программы непрерывного обучения персонала в области предотвращения и борьбы с отмыванием денег и финансированием терроризма, отчет о проведенных тренингах, а также результаты проверок в помещении учреждения по валютному обмену (его отделения, пункта обмена валюты). Учреждение по валютному обмену обеспечит оперативный и неограниченный доступ к ним высшему должностному лицу/директору отделения, кассиру, а также надзорному органу.</w:t>
      </w:r>
    </w:p>
    <w:p w14:paraId="746AE143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[Пкт.46</w:t>
      </w:r>
      <w:r w:rsidRPr="007113B5">
        <w:rPr>
          <w:rFonts w:ascii="Arial" w:eastAsia="Times New Roman" w:hAnsi="Arial" w:cs="Arial"/>
          <w:i/>
          <w:iCs/>
          <w:color w:val="663300"/>
          <w:kern w:val="0"/>
          <w:vertAlign w:val="superscript"/>
          <w:lang w:eastAsia="ro-MD"/>
          <w14:ligatures w14:val="none"/>
        </w:rPr>
        <w:t>1</w:t>
      </w: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 xml:space="preserve"> введен Пост.НБМ N 20 от 24.01.2024, в силу 08.02.2024]</w:t>
      </w:r>
    </w:p>
    <w:p w14:paraId="4350CF8F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0E37837C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Глава VIII</w:t>
      </w:r>
    </w:p>
    <w:p w14:paraId="02BBDA0F" w14:textId="77777777" w:rsidR="007113B5" w:rsidRPr="007113B5" w:rsidRDefault="007113B5" w:rsidP="007113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САНКЦИИ</w:t>
      </w:r>
    </w:p>
    <w:p w14:paraId="7BA912CA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b/>
          <w:bCs/>
          <w:kern w:val="0"/>
          <w:sz w:val="24"/>
          <w:szCs w:val="24"/>
          <w:lang w:eastAsia="ro-MD"/>
          <w14:ligatures w14:val="none"/>
        </w:rPr>
        <w:t>47.</w:t>
      </w: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 xml:space="preserve"> В случае выявления нарушений положений настоящего Регламента, обязательств, предусмотренных законодательством по предупреждению и борьбе с отмыванием денег и финансированием терроризма, Национальный банк Молдовы может применить санкции в соответствии с действующим законодательством.</w:t>
      </w:r>
    </w:p>
    <w:p w14:paraId="2042C91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3D28817E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545"/>
        <w:gridCol w:w="817"/>
        <w:gridCol w:w="682"/>
        <w:gridCol w:w="993"/>
        <w:gridCol w:w="828"/>
        <w:gridCol w:w="787"/>
        <w:gridCol w:w="905"/>
        <w:gridCol w:w="1009"/>
        <w:gridCol w:w="875"/>
        <w:gridCol w:w="905"/>
        <w:gridCol w:w="752"/>
      </w:tblGrid>
      <w:tr w:rsidR="007113B5" w:rsidRPr="007113B5" w14:paraId="75B7740E" w14:textId="77777777" w:rsidTr="007113B5">
        <w:trPr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FCA354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Приложение № 1</w:t>
            </w:r>
          </w:p>
          <w:p w14:paraId="58129E36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к Регламенту о требованиях в области</w:t>
            </w:r>
          </w:p>
          <w:p w14:paraId="5D4C6F82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предупреждения и борьбы с отмыванием</w:t>
            </w:r>
          </w:p>
          <w:p w14:paraId="585EABA9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денег и финансированием терроризма</w:t>
            </w:r>
          </w:p>
          <w:p w14:paraId="42EC5FA4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в деятельности учреждений</w:t>
            </w:r>
          </w:p>
          <w:p w14:paraId="011DE9FA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по валютному обмену</w:t>
            </w:r>
          </w:p>
          <w:p w14:paraId="73A5D5AA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 </w:t>
            </w:r>
          </w:p>
          <w:p w14:paraId="3C02BD4A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lang w:eastAsia="ro-MD"/>
                <w14:ligatures w14:val="none"/>
              </w:rPr>
              <w:t>________________________________________________________</w:t>
            </w:r>
          </w:p>
          <w:p w14:paraId="50249FDE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 xml:space="preserve">                                </w:t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o-MD"/>
                <w14:ligatures w14:val="none"/>
              </w:rPr>
              <w:t>(название учреждения по валютному обмену)</w:t>
            </w:r>
          </w:p>
          <w:p w14:paraId="2815D547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lang w:eastAsia="ro-MD"/>
                <w14:ligatures w14:val="none"/>
              </w:rPr>
              <w:t>________________________________________________________</w:t>
            </w:r>
          </w:p>
          <w:p w14:paraId="68A3BF29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 xml:space="preserve">                    </w:t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o-MD"/>
                <w14:ligatures w14:val="none"/>
              </w:rPr>
              <w:t>(адрес осуществления деятельности по валютному обмену)</w:t>
            </w:r>
          </w:p>
          <w:p w14:paraId="6CE974D6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lang w:eastAsia="ro-MD"/>
                <w14:ligatures w14:val="none"/>
              </w:rPr>
              <w:t>________________________________________________________</w:t>
            </w:r>
          </w:p>
          <w:p w14:paraId="533439FD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 xml:space="preserve">                                                          </w:t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o-MD"/>
                <w14:ligatures w14:val="none"/>
              </w:rPr>
              <w:t>(IDNO)</w:t>
            </w:r>
          </w:p>
          <w:p w14:paraId="15A18FAE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lang w:eastAsia="ro-MD"/>
                <w14:ligatures w14:val="none"/>
              </w:rPr>
              <w:t>________________________________________________________</w:t>
            </w:r>
          </w:p>
          <w:p w14:paraId="7211C7D8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 xml:space="preserve">                 </w:t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o-MD"/>
                <w14:ligatures w14:val="none"/>
              </w:rPr>
              <w:t>(регистрационный номер MCC, присвоенный фискальным органом)</w:t>
            </w:r>
          </w:p>
          <w:p w14:paraId="2F2CAE2B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 </w:t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lang w:eastAsia="ro-MD"/>
                <w14:ligatures w14:val="none"/>
              </w:rPr>
              <w:t>________________________________________________________</w:t>
            </w:r>
          </w:p>
          <w:p w14:paraId="60227578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 xml:space="preserve">                    </w:t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o-MD"/>
                <w14:ligatures w14:val="none"/>
              </w:rPr>
              <w:t>(фамилия, имя ответственного высшего должностного лица)</w:t>
            </w: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 xml:space="preserve">  </w:t>
            </w:r>
          </w:p>
          <w:p w14:paraId="2501723C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 </w:t>
            </w:r>
          </w:p>
          <w:p w14:paraId="43882204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 </w:t>
            </w:r>
          </w:p>
          <w:p w14:paraId="588DD276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РЕГИСТР</w:t>
            </w:r>
          </w:p>
          <w:p w14:paraId="53CFDEFE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идентифицированных физических лиц</w:t>
            </w:r>
          </w:p>
          <w:p w14:paraId="68AAA637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 </w:t>
            </w:r>
          </w:p>
        </w:tc>
      </w:tr>
      <w:tr w:rsidR="007113B5" w:rsidRPr="007113B5" w14:paraId="654E7322" w14:textId="77777777" w:rsidTr="007113B5">
        <w:trPr>
          <w:jc w:val="center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EC2264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F01FFC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Дата и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время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опе-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07CF3B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Вид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операции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(продажа/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покупка)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A5C541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Код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валюты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8D18A4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Стоимость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операции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(эквивалент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в леях)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F7371A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Фамилия,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имя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09AD05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IDNP/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серия и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номер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удосто-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верения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личности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3F8B16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Страна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выдачи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документа,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удостове-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ряющего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личность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C77E8B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Для операций более 20000 lei*</w:t>
            </w:r>
          </w:p>
        </w:tc>
      </w:tr>
      <w:tr w:rsidR="007113B5" w:rsidRPr="007113B5" w14:paraId="25EDD012" w14:textId="77777777" w:rsidTr="007113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DAFD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C425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5AE09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26D01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A21F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4422D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73B1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21BF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F56B0F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Домашний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адрес/ адрес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проживания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191402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Род занятий/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2190B4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Источник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денежных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средств/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B92C85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Прочие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данные и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сведения ***</w:t>
            </w:r>
          </w:p>
        </w:tc>
      </w:tr>
      <w:tr w:rsidR="007113B5" w:rsidRPr="007113B5" w14:paraId="4A36A180" w14:textId="77777777" w:rsidTr="007113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540FA4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E8DCE5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6F209E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434F06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3B7C50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1CC874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42D73E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483BD8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2C8A8A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CB8509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BB66E3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66EA48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12</w:t>
            </w:r>
          </w:p>
        </w:tc>
      </w:tr>
      <w:tr w:rsidR="007113B5" w:rsidRPr="007113B5" w14:paraId="7C087928" w14:textId="77777777" w:rsidTr="007113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DE8112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0A53A5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37E569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68F2BE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3537C4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A944C0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BF5ED3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A5C622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AEB508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63D3F7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C77F54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6C6FC4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7113B5" w:rsidRPr="007113B5" w14:paraId="28B13CEC" w14:textId="77777777" w:rsidTr="007113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1CF441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D36437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B85C89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C2C358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CCDD10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497D57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5A33DF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84AD81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01103F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D90765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FD849C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D5231F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7113B5" w:rsidRPr="007113B5" w14:paraId="492BEB90" w14:textId="77777777" w:rsidTr="007113B5">
        <w:trPr>
          <w:jc w:val="center"/>
        </w:trPr>
        <w:tc>
          <w:tcPr>
            <w:tcW w:w="0" w:type="auto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7AE95A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 </w:t>
            </w:r>
          </w:p>
          <w:p w14:paraId="3056DD57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* Операции на сумму более 20 000 леев, совершенные за одну операцию</w:t>
            </w:r>
          </w:p>
          <w:p w14:paraId="0F761C90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** Указывается буквенный код страны (согласно стандарту ISO 3166-1 альфа-3)</w:t>
            </w:r>
          </w:p>
          <w:p w14:paraId="41327E81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*** Дополнительная релевантная информация о физическом лице – выгодоприобретающем собственнике (если это другое лицо); политически уязвимое лицо (члены семьи, ближайшее окружение); резидент/нерезидент; другие соответствующие данные для категории риска лица/операции</w:t>
            </w:r>
          </w:p>
        </w:tc>
      </w:tr>
    </w:tbl>
    <w:p w14:paraId="34F8BED7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45BE1B8B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[Приложение N 1 в редакции Пост.НБМ N 20 от 24.01.2024, в силу 08.02.2024]</w:t>
      </w:r>
    </w:p>
    <w:p w14:paraId="29336A61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3484DEA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793"/>
        <w:gridCol w:w="821"/>
        <w:gridCol w:w="685"/>
        <w:gridCol w:w="600"/>
        <w:gridCol w:w="832"/>
        <w:gridCol w:w="949"/>
        <w:gridCol w:w="701"/>
        <w:gridCol w:w="838"/>
        <w:gridCol w:w="974"/>
        <w:gridCol w:w="1174"/>
        <w:gridCol w:w="729"/>
      </w:tblGrid>
      <w:tr w:rsidR="007113B5" w:rsidRPr="007113B5" w14:paraId="7FE1E019" w14:textId="77777777" w:rsidTr="007113B5">
        <w:trPr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5DCD0F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Приложение № 2</w:t>
            </w:r>
          </w:p>
          <w:p w14:paraId="71909AFA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к Регламенту о требованиях в области</w:t>
            </w:r>
          </w:p>
          <w:p w14:paraId="5396638D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предупреждения и борьбы с отмыванием</w:t>
            </w:r>
          </w:p>
          <w:p w14:paraId="4B760671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денег и финансированием терроризма</w:t>
            </w:r>
          </w:p>
          <w:p w14:paraId="09E1FE50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в деятельности учреждений</w:t>
            </w:r>
          </w:p>
          <w:p w14:paraId="3DE5EDB2" w14:textId="77777777" w:rsidR="007113B5" w:rsidRPr="007113B5" w:rsidRDefault="007113B5" w:rsidP="0071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по валютному обмену</w:t>
            </w:r>
          </w:p>
          <w:p w14:paraId="38DCAD11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 </w:t>
            </w:r>
          </w:p>
          <w:p w14:paraId="04E83222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lang w:eastAsia="ro-MD"/>
                <w14:ligatures w14:val="none"/>
              </w:rPr>
              <w:t>________________________________________________________</w:t>
            </w:r>
          </w:p>
          <w:p w14:paraId="5AD7E45E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 xml:space="preserve">                            </w:t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o-MD"/>
                <w14:ligatures w14:val="none"/>
              </w:rPr>
              <w:t>(название учреждения по валютному обмену)</w:t>
            </w:r>
          </w:p>
          <w:p w14:paraId="2760D5D2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lang w:eastAsia="ro-MD"/>
                <w14:ligatures w14:val="none"/>
              </w:rPr>
              <w:t>________________________________________________________</w:t>
            </w:r>
          </w:p>
          <w:p w14:paraId="48F7B3CD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 xml:space="preserve">                 </w:t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o-MD"/>
                <w14:ligatures w14:val="none"/>
              </w:rPr>
              <w:t>(адрес осуществления деятельности по валютному обмену)</w:t>
            </w:r>
          </w:p>
          <w:p w14:paraId="61B9A97F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lang w:eastAsia="ro-MD"/>
                <w14:ligatures w14:val="none"/>
              </w:rPr>
              <w:t>________________________________________________________</w:t>
            </w:r>
          </w:p>
          <w:p w14:paraId="2AA847CD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 xml:space="preserve">                                                      </w:t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o-MD"/>
                <w14:ligatures w14:val="none"/>
              </w:rPr>
              <w:t>(IDNO)</w:t>
            </w:r>
          </w:p>
          <w:p w14:paraId="14D75513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lang w:eastAsia="ro-MD"/>
                <w14:ligatures w14:val="none"/>
              </w:rPr>
              <w:t>________________________________________________________</w:t>
            </w:r>
          </w:p>
          <w:p w14:paraId="23E765F6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 xml:space="preserve">             </w:t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o-MD"/>
                <w14:ligatures w14:val="none"/>
              </w:rPr>
              <w:t>(регистрационный номер MCC, присвоенный фискальным органом)</w:t>
            </w:r>
          </w:p>
          <w:p w14:paraId="7F3F60B6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lang w:eastAsia="ro-MD"/>
                <w14:ligatures w14:val="none"/>
              </w:rPr>
              <w:t>________________________________________________________</w:t>
            </w:r>
          </w:p>
          <w:p w14:paraId="3D6E17DC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 xml:space="preserve">         </w:t>
            </w: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o-MD"/>
                <w14:ligatures w14:val="none"/>
              </w:rPr>
              <w:t>(фамилия, имя и подпись ответственного высшего должностного лица)</w:t>
            </w:r>
          </w:p>
          <w:p w14:paraId="43962292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 </w:t>
            </w:r>
          </w:p>
          <w:p w14:paraId="71B91819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 </w:t>
            </w:r>
          </w:p>
          <w:p w14:paraId="64DE67D9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РЕГИСТР</w:t>
            </w:r>
          </w:p>
          <w:p w14:paraId="4342D7E8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операций, переданных Службе по предупреждению и борьбе с отмыванием денег</w:t>
            </w:r>
          </w:p>
          <w:p w14:paraId="7661C495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"___"_______________20___</w:t>
            </w:r>
          </w:p>
          <w:p w14:paraId="1FBF7826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o-MD"/>
                <w14:ligatures w14:val="none"/>
              </w:rPr>
              <w:t>(дата составления)</w:t>
            </w:r>
          </w:p>
          <w:p w14:paraId="0F711290" w14:textId="77777777" w:rsidR="007113B5" w:rsidRPr="007113B5" w:rsidRDefault="007113B5" w:rsidP="00711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 </w:t>
            </w:r>
          </w:p>
        </w:tc>
      </w:tr>
      <w:tr w:rsidR="007113B5" w:rsidRPr="007113B5" w14:paraId="0336F860" w14:textId="77777777" w:rsidTr="007113B5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5F0B5B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4367AB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Дата и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время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ECDB26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Вид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операции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(продажа/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покупка)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9FF3FB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Код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валюты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5FC059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Стои-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мост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ь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опе-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рации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(экви-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валент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в леях)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62D9D7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Фамилия,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4C0033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Данные о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 xml:space="preserve">лице 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(IDNP/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серия и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номер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удосто-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верения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личности,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граж-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данство,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адрес,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резидент/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нерезидент,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B06663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Данные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 xml:space="preserve">о 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выго-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допри-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обрета-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ющем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собст-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веннике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(если есть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другое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лицо)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54D735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Тип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сооб-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щаемо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й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сделки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(подозри-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тельная/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превы-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шение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законного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лимита)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D0CDD1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Причина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подозре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ния,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для подоз-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рительных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операций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(иные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причины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сообщения)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74A24A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Фамилия, имя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 xml:space="preserve">кассира/ 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лица,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заполняющего</w:t>
            </w: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br/>
              <w:t>Регистр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82E924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lastRenderedPageBreak/>
              <w:t>Подпись</w:t>
            </w:r>
          </w:p>
        </w:tc>
      </w:tr>
      <w:tr w:rsidR="007113B5" w:rsidRPr="007113B5" w14:paraId="3FAB62C3" w14:textId="77777777" w:rsidTr="007113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E33CBC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9DEB8B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61E5A0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B2F274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0C4959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66A2CF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80EA58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AAF149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F743A7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EB381C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D446DE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AF6B12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o-MD"/>
                <w14:ligatures w14:val="none"/>
              </w:rPr>
              <w:t>12</w:t>
            </w:r>
          </w:p>
        </w:tc>
      </w:tr>
      <w:tr w:rsidR="007113B5" w:rsidRPr="007113B5" w14:paraId="32005581" w14:textId="77777777" w:rsidTr="007113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F8A8C9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6FE79B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15152E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DA4074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E78B91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E202F4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983D34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70E9C1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C46050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AFB6AE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FFEDFA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597592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7113B5" w:rsidRPr="007113B5" w14:paraId="46AD7F28" w14:textId="77777777" w:rsidTr="007113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DD0C41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2C0403" w14:textId="77777777" w:rsidR="007113B5" w:rsidRPr="007113B5" w:rsidRDefault="007113B5" w:rsidP="0071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A2BE3B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68C0C9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B8D9AD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83A906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F82997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605A99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808A21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3FF912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42DC4B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09D7ED" w14:textId="77777777" w:rsidR="007113B5" w:rsidRPr="007113B5" w:rsidRDefault="007113B5" w:rsidP="00711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</w:pPr>
            <w:r w:rsidRPr="007113B5">
              <w:rPr>
                <w:rFonts w:ascii="Times New Roman" w:eastAsia="Times New Roman" w:hAnsi="Times New Roman" w:cs="Times New Roman"/>
                <w:kern w:val="0"/>
                <w:lang w:eastAsia="ro-MD"/>
                <w14:ligatures w14:val="none"/>
              </w:rPr>
              <w:t> </w:t>
            </w:r>
          </w:p>
        </w:tc>
      </w:tr>
    </w:tbl>
    <w:p w14:paraId="08F40D22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15A87E89" w14:textId="77777777" w:rsidR="007113B5" w:rsidRPr="007113B5" w:rsidRDefault="007113B5" w:rsidP="007113B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</w:pPr>
      <w:r w:rsidRPr="007113B5">
        <w:rPr>
          <w:rFonts w:ascii="Arial" w:eastAsia="Times New Roman" w:hAnsi="Arial" w:cs="Arial"/>
          <w:i/>
          <w:iCs/>
          <w:color w:val="663300"/>
          <w:kern w:val="0"/>
          <w:lang w:eastAsia="ro-MD"/>
          <w14:ligatures w14:val="none"/>
        </w:rPr>
        <w:t>[Приложение N 2 в редакции Пост.НБМ N 20 от 24.01.2024, в силу 08.02.2024]</w:t>
      </w:r>
    </w:p>
    <w:p w14:paraId="7C0B158C" w14:textId="77777777" w:rsidR="007113B5" w:rsidRPr="007113B5" w:rsidRDefault="007113B5" w:rsidP="007113B5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</w:pPr>
      <w:r w:rsidRPr="007113B5">
        <w:rPr>
          <w:rFonts w:ascii="Arial" w:eastAsia="Times New Roman" w:hAnsi="Arial" w:cs="Arial"/>
          <w:kern w:val="0"/>
          <w:sz w:val="24"/>
          <w:szCs w:val="24"/>
          <w:lang w:eastAsia="ro-MD"/>
          <w14:ligatures w14:val="none"/>
        </w:rPr>
        <w:t> </w:t>
      </w:r>
    </w:p>
    <w:p w14:paraId="15296046" w14:textId="77777777" w:rsidR="00191D9D" w:rsidRDefault="00191D9D"/>
    <w:sectPr w:rsidR="00191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5016" w14:textId="77777777" w:rsidR="009C14F5" w:rsidRDefault="009C14F5" w:rsidP="00CD534B">
      <w:pPr>
        <w:spacing w:after="0" w:line="240" w:lineRule="auto"/>
      </w:pPr>
      <w:r>
        <w:separator/>
      </w:r>
    </w:p>
  </w:endnote>
  <w:endnote w:type="continuationSeparator" w:id="0">
    <w:p w14:paraId="63A2B566" w14:textId="77777777" w:rsidR="009C14F5" w:rsidRDefault="009C14F5" w:rsidP="00CD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CCAE" w14:textId="77777777" w:rsidR="00CD534B" w:rsidRDefault="00CD5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8BDF" w14:textId="595B8AF3" w:rsidR="00CD534B" w:rsidRDefault="00CD534B" w:rsidP="00CD5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8C21" w14:textId="77777777" w:rsidR="00CD534B" w:rsidRDefault="00CD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83EA" w14:textId="77777777" w:rsidR="009C14F5" w:rsidRDefault="009C14F5" w:rsidP="00CD534B">
      <w:pPr>
        <w:spacing w:after="0" w:line="240" w:lineRule="auto"/>
      </w:pPr>
      <w:r>
        <w:separator/>
      </w:r>
    </w:p>
  </w:footnote>
  <w:footnote w:type="continuationSeparator" w:id="0">
    <w:p w14:paraId="6071316F" w14:textId="77777777" w:rsidR="009C14F5" w:rsidRDefault="009C14F5" w:rsidP="00CD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E65E" w14:textId="77777777" w:rsidR="00CD534B" w:rsidRDefault="00CD5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AF8F" w14:textId="6018B2BE" w:rsidR="00CD534B" w:rsidRDefault="00CD534B" w:rsidP="00CD5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88A2" w14:textId="77777777" w:rsidR="00CD534B" w:rsidRDefault="00CD5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5"/>
    <w:rsid w:val="00191D9D"/>
    <w:rsid w:val="002F6854"/>
    <w:rsid w:val="007113B5"/>
    <w:rsid w:val="009C14F5"/>
    <w:rsid w:val="00CD534B"/>
    <w:rsid w:val="00D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21F3"/>
  <w15:chartTrackingRefBased/>
  <w15:docId w15:val="{80BB6380-377B-48B2-B921-50421F8D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sp">
    <w:name w:val="tt_sp"/>
    <w:basedOn w:val="Normal"/>
    <w:rsid w:val="007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n">
    <w:name w:val="cn"/>
    <w:basedOn w:val="Normal"/>
    <w:rsid w:val="007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emit">
    <w:name w:val="emit"/>
    <w:basedOn w:val="Normal"/>
    <w:rsid w:val="007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tt">
    <w:name w:val="tt"/>
    <w:basedOn w:val="Normal"/>
    <w:rsid w:val="007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pb">
    <w:name w:val="pb"/>
    <w:basedOn w:val="Normal"/>
    <w:rsid w:val="007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rg">
    <w:name w:val="rg"/>
    <w:basedOn w:val="Normal"/>
    <w:rsid w:val="007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nt">
    <w:name w:val="nt"/>
    <w:basedOn w:val="Normal"/>
    <w:rsid w:val="007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b">
    <w:name w:val="cb"/>
    <w:basedOn w:val="Normal"/>
    <w:rsid w:val="007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p">
    <w:name w:val="cp"/>
    <w:basedOn w:val="Normal"/>
    <w:rsid w:val="007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md">
    <w:name w:val="md"/>
    <w:basedOn w:val="Normal"/>
    <w:rsid w:val="007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D53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4B"/>
  </w:style>
  <w:style w:type="paragraph" w:styleId="Footer">
    <w:name w:val="footer"/>
    <w:basedOn w:val="Normal"/>
    <w:link w:val="FooterChar"/>
    <w:uiPriority w:val="99"/>
    <w:unhideWhenUsed/>
    <w:rsid w:val="00CD53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5044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33730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2024-02-16T17:51:00Z</cp:lastPrinted>
  <dcterms:created xsi:type="dcterms:W3CDTF">2024-02-16T17:51:00Z</dcterms:created>
  <dcterms:modified xsi:type="dcterms:W3CDTF">2024-02-16T17:51:00Z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5768e05a-5b33-4e01-b4fd-0a9e290d49dc</vt:lpwstr>
  </property>
  <property fmtid="{D5CDD505-2E9C-101B-9397-08002B2CF9AE}" pid="3" name="Clasificare">
    <vt:lpwstr>NONE</vt:lpwstr>
  </property>
</Properties>
</file>