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D8D64" w14:textId="77777777" w:rsidR="00D3059E" w:rsidRPr="00291BB1" w:rsidRDefault="00D3059E">
      <w:pPr>
        <w:rPr>
          <w:sz w:val="32"/>
          <w:szCs w:val="32"/>
          <w:lang w:val="en-US"/>
        </w:rPr>
      </w:pPr>
    </w:p>
    <w:tbl>
      <w:tblPr>
        <w:tblpPr w:leftFromText="180" w:rightFromText="180" w:vertAnchor="page" w:horzAnchor="margin" w:tblpY="2065"/>
        <w:tblW w:w="9324" w:type="dxa"/>
        <w:tblLook w:val="0000" w:firstRow="0" w:lastRow="0" w:firstColumn="0" w:lastColumn="0" w:noHBand="0" w:noVBand="0"/>
      </w:tblPr>
      <w:tblGrid>
        <w:gridCol w:w="9324"/>
      </w:tblGrid>
      <w:tr w:rsidR="0024004F" w:rsidRPr="00447295" w14:paraId="4F24D2E3" w14:textId="77777777" w:rsidTr="00291BB1">
        <w:trPr>
          <w:trHeight w:val="421"/>
        </w:trPr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56FCA" w14:textId="68386D88" w:rsidR="003C6981" w:rsidRPr="00896C25" w:rsidRDefault="003C6981" w:rsidP="00291BB1">
            <w:pPr>
              <w:pStyle w:val="Header"/>
              <w:jc w:val="center"/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</w:pPr>
            <w:r w:rsidRPr="00896C25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SEPARATE STATEMENT OF</w:t>
            </w:r>
            <w:r w:rsidR="006C5F08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 xml:space="preserve"> </w:t>
            </w:r>
            <w:r w:rsidRPr="00896C25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COMPREHENSIVE RESULT</w:t>
            </w:r>
          </w:p>
          <w:p w14:paraId="000EB43A" w14:textId="604C9FA0" w:rsidR="0024004F" w:rsidRPr="00896C25" w:rsidRDefault="003C6981" w:rsidP="00291BB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896C25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(unaudited)</w:t>
            </w:r>
          </w:p>
        </w:tc>
      </w:tr>
      <w:tr w:rsidR="003C6981" w:rsidRPr="00447295" w14:paraId="702E8157" w14:textId="77777777" w:rsidTr="00291BB1">
        <w:trPr>
          <w:trHeight w:val="573"/>
        </w:trPr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BB22AF" w14:textId="449A649B" w:rsidR="003C6981" w:rsidRPr="00896C25" w:rsidRDefault="0009355E" w:rsidP="000935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8"/>
                <w:szCs w:val="28"/>
                <w:lang w:val="en-US"/>
              </w:rPr>
            </w:pPr>
            <w:r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For 9 months ended on 30</w:t>
            </w:r>
            <w:r w:rsidR="003C6981" w:rsidRPr="00896C25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September</w:t>
            </w:r>
            <w:r w:rsidR="003C6981" w:rsidRPr="00896C25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 xml:space="preserve"> 202</w:t>
            </w:r>
            <w:r w:rsidR="00E02E54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3</w:t>
            </w:r>
          </w:p>
        </w:tc>
      </w:tr>
    </w:tbl>
    <w:tbl>
      <w:tblPr>
        <w:tblStyle w:val="TableGridLight"/>
        <w:tblpPr w:leftFromText="180" w:rightFromText="180" w:vertAnchor="text" w:horzAnchor="margin" w:tblpY="99"/>
        <w:tblW w:w="10217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846"/>
        <w:gridCol w:w="108"/>
        <w:gridCol w:w="1593"/>
        <w:gridCol w:w="105"/>
        <w:gridCol w:w="732"/>
        <w:gridCol w:w="882"/>
        <w:gridCol w:w="111"/>
        <w:gridCol w:w="732"/>
      </w:tblGrid>
      <w:tr w:rsidR="008D6253" w:rsidRPr="00447295" w14:paraId="5FFDC541" w14:textId="77777777" w:rsidTr="00DA4BF4">
        <w:trPr>
          <w:gridBefore w:val="1"/>
          <w:gridAfter w:val="1"/>
          <w:wBefore w:w="108" w:type="dxa"/>
          <w:wAfter w:w="732" w:type="dxa"/>
          <w:trHeight w:val="208"/>
        </w:trPr>
        <w:tc>
          <w:tcPr>
            <w:tcW w:w="5954" w:type="dxa"/>
            <w:gridSpan w:val="2"/>
            <w:vMerge w:val="restart"/>
            <w:noWrap/>
          </w:tcPr>
          <w:p w14:paraId="53045CFE" w14:textId="77777777" w:rsidR="008D6253" w:rsidRPr="00447295" w:rsidRDefault="008D6253" w:rsidP="008D6253">
            <w:pPr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sz w:val="22"/>
                <w:szCs w:val="22"/>
                <w:lang w:val="en-US"/>
              </w:rPr>
              <w:br w:type="page"/>
            </w: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69705476" w14:textId="0EBDBA0D" w:rsidR="008D6253" w:rsidRPr="00447295" w:rsidRDefault="0009355E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30</w:t>
            </w:r>
            <w:r w:rsidR="003C6981"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September</w:t>
            </w:r>
            <w:r w:rsidR="008D6253"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5652B0E" w14:textId="7F54DE90" w:rsidR="008D6253" w:rsidRPr="00447295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202</w:t>
            </w:r>
            <w:r w:rsidR="00E02E54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6531790C" w14:textId="12B3F2A7" w:rsidR="008D6253" w:rsidRPr="00447295" w:rsidRDefault="0009355E" w:rsidP="0009355E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30</w:t>
            </w: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September</w:t>
            </w: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35FDADB5" w14:textId="5C7E4848" w:rsidR="008D6253" w:rsidRPr="00447295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202</w:t>
            </w:r>
            <w:r w:rsidR="00E02E54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</w:t>
            </w:r>
          </w:p>
        </w:tc>
      </w:tr>
      <w:tr w:rsidR="008D6253" w:rsidRPr="00447295" w14:paraId="6172A51C" w14:textId="77777777" w:rsidTr="00DA4BF4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vMerge/>
            <w:noWrap/>
          </w:tcPr>
          <w:p w14:paraId="258539EA" w14:textId="77777777" w:rsidR="008D6253" w:rsidRPr="00447295" w:rsidRDefault="008D6253" w:rsidP="008D6253">
            <w:pPr>
              <w:spacing w:after="240"/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shd w:val="clear" w:color="auto" w:fill="auto"/>
          </w:tcPr>
          <w:p w14:paraId="030B7DAF" w14:textId="5990A22A" w:rsidR="008D6253" w:rsidRPr="00447295" w:rsidRDefault="003C6981" w:rsidP="00A81F12">
            <w:pPr>
              <w:spacing w:after="240"/>
              <w:ind w:left="-852" w:right="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en-US"/>
              </w:rPr>
              <w:t>MDL’000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nil"/>
            </w:tcBorders>
          </w:tcPr>
          <w:p w14:paraId="6AE15479" w14:textId="49244AEB" w:rsidR="008D6253" w:rsidRPr="00447295" w:rsidRDefault="003C6981" w:rsidP="00A81F12">
            <w:pPr>
              <w:spacing w:after="240"/>
              <w:ind w:left="-852" w:right="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en-US"/>
              </w:rPr>
              <w:t>MDL’000</w:t>
            </w:r>
          </w:p>
        </w:tc>
      </w:tr>
      <w:tr w:rsidR="008D6253" w:rsidRPr="00447295" w14:paraId="1920DC42" w14:textId="77777777" w:rsidTr="00DA4BF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</w:tcPr>
          <w:p w14:paraId="06351D62" w14:textId="77777777" w:rsidR="008D6253" w:rsidRPr="00447295" w:rsidRDefault="008D6253" w:rsidP="008D6253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  <w:vAlign w:val="center"/>
          </w:tcPr>
          <w:p w14:paraId="3EB4F5E5" w14:textId="77777777" w:rsidR="008D6253" w:rsidRPr="00447295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nil"/>
            </w:tcBorders>
            <w:noWrap/>
            <w:vAlign w:val="center"/>
          </w:tcPr>
          <w:p w14:paraId="3F4A1BFF" w14:textId="77777777" w:rsidR="008D6253" w:rsidRPr="00447295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8D6253" w:rsidRPr="00447295" w14:paraId="5D50AA82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CAE828E" w14:textId="0F9FECB5" w:rsidR="008D6253" w:rsidRPr="00A81F12" w:rsidRDefault="003C6981" w:rsidP="008D6253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  <w:t>Interest income on official reserve assets</w:t>
            </w:r>
          </w:p>
        </w:tc>
        <w:tc>
          <w:tcPr>
            <w:tcW w:w="1698" w:type="dxa"/>
            <w:gridSpan w:val="2"/>
            <w:vAlign w:val="center"/>
          </w:tcPr>
          <w:p w14:paraId="6DD34C5D" w14:textId="77777777" w:rsidR="008D6253" w:rsidRPr="00A81F12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5E257043" w14:textId="77777777" w:rsidR="008D6253" w:rsidRPr="00A81F12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09355E" w:rsidRPr="00447295" w14:paraId="5EB95E15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AAA13D7" w14:textId="0066D910" w:rsidR="0009355E" w:rsidRPr="00A81F12" w:rsidRDefault="0009355E" w:rsidP="0009355E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income on short-term placements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69C81E68" w14:textId="58AC2D72" w:rsidR="0009355E" w:rsidRPr="00A81F12" w:rsidRDefault="0009355E" w:rsidP="0009355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635 035 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3D436D00" w14:textId="35B918B5" w:rsidR="0009355E" w:rsidRPr="00A81F12" w:rsidRDefault="0009355E" w:rsidP="0009355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155 581 </w:t>
            </w:r>
          </w:p>
        </w:tc>
      </w:tr>
      <w:tr w:rsidR="0009355E" w:rsidRPr="00447295" w14:paraId="55468803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85B379B" w14:textId="5F2D3AE9" w:rsidR="0009355E" w:rsidRPr="00A81F12" w:rsidRDefault="0009355E" w:rsidP="0009355E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income on securities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2E70DEF8" w14:textId="25A4FAA4" w:rsidR="0009355E" w:rsidRPr="00A81F12" w:rsidRDefault="0009355E" w:rsidP="0009355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1 781 224 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B26A9A2" w14:textId="64EFB535" w:rsidR="0009355E" w:rsidRPr="00A81F12" w:rsidRDefault="0009355E" w:rsidP="0009355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258 940 </w:t>
            </w:r>
          </w:p>
        </w:tc>
      </w:tr>
      <w:tr w:rsidR="0009355E" w:rsidRPr="00447295" w14:paraId="12CBBFA5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DDCC4F8" w14:textId="77777777" w:rsidR="0009355E" w:rsidRPr="00A81F12" w:rsidRDefault="0009355E" w:rsidP="0009355E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97D0474" w14:textId="4F4DBB95" w:rsidR="0009355E" w:rsidRPr="00A81F12" w:rsidRDefault="0009355E" w:rsidP="0009355E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2 416 259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7C20D657" w14:textId="5E396B2F" w:rsidR="0009355E" w:rsidRPr="00A81F12" w:rsidRDefault="0009355E" w:rsidP="0009355E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414 521 </w:t>
            </w:r>
          </w:p>
        </w:tc>
      </w:tr>
      <w:tr w:rsidR="003C6981" w:rsidRPr="00447295" w14:paraId="7393A4E0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2D83D01E" w14:textId="0FAEE0D1" w:rsidR="003C6981" w:rsidRPr="00A81F12" w:rsidRDefault="003C6981" w:rsidP="003C6981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Interest income on instruments in national currency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  <w:vAlign w:val="center"/>
          </w:tcPr>
          <w:p w14:paraId="34D3EB10" w14:textId="77777777" w:rsidR="003C6981" w:rsidRPr="00A81F12" w:rsidRDefault="003C6981" w:rsidP="003C6981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40ED8853" w14:textId="77777777" w:rsidR="003C6981" w:rsidRPr="00A81F12" w:rsidRDefault="003C6981" w:rsidP="003C6981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09355E" w:rsidRPr="00447295" w14:paraId="5D991875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2292595" w14:textId="368646BF" w:rsidR="0009355E" w:rsidRPr="00A81F12" w:rsidRDefault="0009355E" w:rsidP="0009355E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income on loans and repo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F937082" w14:textId="53AFF82F" w:rsidR="0009355E" w:rsidRPr="00A81F12" w:rsidRDefault="0009355E" w:rsidP="0009355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4 685 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565031F3" w14:textId="0B7AFA95" w:rsidR="0009355E" w:rsidRPr="00A81F12" w:rsidRDefault="0009355E" w:rsidP="0009355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218 891 </w:t>
            </w:r>
          </w:p>
        </w:tc>
      </w:tr>
      <w:tr w:rsidR="0009355E" w:rsidRPr="00447295" w14:paraId="2C80CC5A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54C30E5" w14:textId="22EAEFC8" w:rsidR="0009355E" w:rsidRPr="00A81F12" w:rsidRDefault="0009355E" w:rsidP="0009355E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income on securities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6FCACB6" w14:textId="7D4A2983" w:rsidR="0009355E" w:rsidRPr="00A81F12" w:rsidRDefault="0009355E" w:rsidP="0009355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637 035 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067AB510" w14:textId="04DDE653" w:rsidR="0009355E" w:rsidRPr="00A81F12" w:rsidRDefault="0009355E" w:rsidP="0009355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613 619 </w:t>
            </w:r>
          </w:p>
        </w:tc>
      </w:tr>
      <w:tr w:rsidR="0009355E" w:rsidRPr="00447295" w14:paraId="5ABDD07A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42C729B" w14:textId="77777777" w:rsidR="0009355E" w:rsidRPr="00A81F12" w:rsidRDefault="0009355E" w:rsidP="0009355E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835A351" w14:textId="6CC56790" w:rsidR="0009355E" w:rsidRPr="00A81F12" w:rsidRDefault="0009355E" w:rsidP="0009355E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/>
                <w:sz w:val="22"/>
                <w:szCs w:val="22"/>
              </w:rPr>
              <w:t xml:space="preserve"> 641 720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5CC70954" w14:textId="15861E91" w:rsidR="0009355E" w:rsidRPr="00A81F12" w:rsidRDefault="0009355E" w:rsidP="0009355E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/>
                <w:sz w:val="22"/>
                <w:szCs w:val="22"/>
              </w:rPr>
              <w:t xml:space="preserve"> 832 510 </w:t>
            </w:r>
          </w:p>
        </w:tc>
      </w:tr>
      <w:tr w:rsidR="0009355E" w:rsidRPr="00447295" w14:paraId="497D8691" w14:textId="77777777" w:rsidTr="00A81F12">
        <w:trPr>
          <w:gridBefore w:val="1"/>
          <w:gridAfter w:val="1"/>
          <w:wBefore w:w="108" w:type="dxa"/>
          <w:wAfter w:w="732" w:type="dxa"/>
          <w:trHeight w:val="219"/>
        </w:trPr>
        <w:tc>
          <w:tcPr>
            <w:tcW w:w="5954" w:type="dxa"/>
            <w:gridSpan w:val="2"/>
            <w:noWrap/>
            <w:vAlign w:val="center"/>
          </w:tcPr>
          <w:p w14:paraId="3EF3C6EA" w14:textId="0A41321F" w:rsidR="0009355E" w:rsidRPr="00A81F12" w:rsidRDefault="0009355E" w:rsidP="0009355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Interest income calculated using the effective interest method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922DCBF" w14:textId="62D18601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/>
                <w:sz w:val="22"/>
                <w:szCs w:val="22"/>
              </w:rPr>
              <w:t xml:space="preserve"> 3 057 979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397B47C8" w14:textId="226DD6D1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/>
                <w:sz w:val="22"/>
                <w:szCs w:val="22"/>
              </w:rPr>
              <w:t xml:space="preserve"> 1 247 031 </w:t>
            </w:r>
          </w:p>
        </w:tc>
      </w:tr>
      <w:tr w:rsidR="003C6981" w:rsidRPr="00447295" w14:paraId="15616D6B" w14:textId="77777777" w:rsidTr="00A81F12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6FA04A61" w14:textId="77777777" w:rsidR="003C6981" w:rsidRPr="00A81F12" w:rsidDel="00C62852" w:rsidRDefault="003C6981" w:rsidP="003C6981">
            <w:pPr>
              <w:ind w:right="-120"/>
              <w:rPr>
                <w:rFonts w:ascii="PermianSerifTypeface" w:hAnsi="PermianSerifTypeface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352660B" w14:textId="77777777" w:rsidR="003C6981" w:rsidRPr="00A81F12" w:rsidRDefault="003C6981" w:rsidP="003C6981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3B21A91C" w14:textId="77777777" w:rsidR="003C6981" w:rsidRPr="00A81F12" w:rsidRDefault="003C6981" w:rsidP="003C6981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12"/>
                <w:szCs w:val="12"/>
                <w:lang w:val="en-US"/>
              </w:rPr>
            </w:pPr>
          </w:p>
        </w:tc>
      </w:tr>
      <w:tr w:rsidR="007C3A5C" w:rsidRPr="00447295" w14:paraId="736A415D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F955479" w14:textId="39150CC0" w:rsidR="007C3A5C" w:rsidRPr="00A81F12" w:rsidRDefault="007C3A5C" w:rsidP="007C3A5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Interest expenses in national currency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6ED6504A" w14:textId="77777777" w:rsidR="007C3A5C" w:rsidRPr="00A81F12" w:rsidRDefault="007C3A5C" w:rsidP="007C3A5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ED318C6" w14:textId="77777777" w:rsidR="007C3A5C" w:rsidRPr="00A81F12" w:rsidRDefault="007C3A5C" w:rsidP="007C3A5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09355E" w:rsidRPr="00447295" w14:paraId="46C03506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E5A7A08" w14:textId="2CCBEFCD" w:rsidR="0009355E" w:rsidRPr="00A81F12" w:rsidRDefault="0009355E" w:rsidP="0009355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expenses on deposits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00085875" w14:textId="18957105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(1 536 248)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5B3621EC" w14:textId="61E32B7B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(1 414 649)</w:t>
            </w:r>
          </w:p>
        </w:tc>
      </w:tr>
      <w:tr w:rsidR="0009355E" w:rsidRPr="00447295" w14:paraId="5C4C70D3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6BF09EF" w14:textId="1A8A2EBE" w:rsidR="0009355E" w:rsidRPr="00A81F12" w:rsidRDefault="0009355E" w:rsidP="0009355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expenses on transactions with securities and repo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79ECFF18" w14:textId="447A2C9F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(1 062 088)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140343CB" w14:textId="36506ACE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(233 495)</w:t>
            </w:r>
          </w:p>
        </w:tc>
      </w:tr>
      <w:tr w:rsidR="0009355E" w:rsidRPr="00447295" w14:paraId="1CB80F8A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B9143B0" w14:textId="77777777" w:rsidR="0009355E" w:rsidRPr="00A81F12" w:rsidRDefault="0009355E" w:rsidP="0009355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0EDEAC81" w14:textId="0E39ED7E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(2 598 336)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0F8C8431" w14:textId="686C5B8F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(1 648 144)</w:t>
            </w:r>
          </w:p>
        </w:tc>
      </w:tr>
      <w:tr w:rsidR="007C3A5C" w:rsidRPr="00447295" w14:paraId="6CF7D7BB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C38DC66" w14:textId="3CBECFC8" w:rsidR="007C3A5C" w:rsidRPr="00A81F12" w:rsidRDefault="007C3A5C" w:rsidP="007C3A5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Interest expenses in foreign currency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0C6C28E6" w14:textId="77777777" w:rsidR="007C3A5C" w:rsidRPr="00A81F12" w:rsidRDefault="007C3A5C" w:rsidP="007C3A5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C69ABFD" w14:textId="77777777" w:rsidR="007C3A5C" w:rsidRPr="00A81F12" w:rsidRDefault="007C3A5C" w:rsidP="007C3A5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09355E" w:rsidRPr="00447295" w14:paraId="2ADD4BF9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B1C246E" w14:textId="0E208AAB" w:rsidR="0009355E" w:rsidRPr="00A81F12" w:rsidRDefault="0009355E" w:rsidP="0009355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expenses on borrowings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01AE87C7" w14:textId="23F2166A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(34 508)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1F9B7B7E" w14:textId="11938A3F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(16 200)</w:t>
            </w:r>
          </w:p>
        </w:tc>
      </w:tr>
      <w:tr w:rsidR="0009355E" w:rsidRPr="00447295" w14:paraId="15D143C9" w14:textId="77777777" w:rsidTr="00A81F12">
        <w:trPr>
          <w:gridBefore w:val="1"/>
          <w:gridAfter w:val="1"/>
          <w:wBefore w:w="108" w:type="dxa"/>
          <w:wAfter w:w="732" w:type="dxa"/>
          <w:trHeight w:val="107"/>
        </w:trPr>
        <w:tc>
          <w:tcPr>
            <w:tcW w:w="5954" w:type="dxa"/>
            <w:gridSpan w:val="2"/>
            <w:noWrap/>
            <w:vAlign w:val="center"/>
          </w:tcPr>
          <w:p w14:paraId="3EEB674C" w14:textId="7308EE83" w:rsidR="0009355E" w:rsidRPr="00A81F12" w:rsidRDefault="0009355E" w:rsidP="0009355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Negative interest expenses on short-term placements</w:t>
            </w: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67E69A70" w14:textId="6B8A8BB4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-   </w:t>
            </w: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14BF9C06" w14:textId="544A5972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(33 676)</w:t>
            </w:r>
          </w:p>
        </w:tc>
      </w:tr>
      <w:tr w:rsidR="0009355E" w:rsidRPr="00447295" w14:paraId="60358564" w14:textId="77777777" w:rsidTr="00A81F12">
        <w:trPr>
          <w:gridBefore w:val="1"/>
          <w:gridAfter w:val="1"/>
          <w:wBefore w:w="108" w:type="dxa"/>
          <w:wAfter w:w="732" w:type="dxa"/>
          <w:trHeight w:val="107"/>
        </w:trPr>
        <w:tc>
          <w:tcPr>
            <w:tcW w:w="5954" w:type="dxa"/>
            <w:gridSpan w:val="2"/>
            <w:noWrap/>
            <w:vAlign w:val="center"/>
          </w:tcPr>
          <w:p w14:paraId="41DA55E6" w14:textId="77777777" w:rsidR="0009355E" w:rsidRPr="00A81F12" w:rsidRDefault="0009355E" w:rsidP="0009355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01E3EAE" w14:textId="6170CD2B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(34 508)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53578927" w14:textId="0DBBEB8C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(49 876)</w:t>
            </w:r>
          </w:p>
        </w:tc>
      </w:tr>
      <w:tr w:rsidR="0009355E" w:rsidRPr="00447295" w14:paraId="38BDDA91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04B4092" w14:textId="45D7221F" w:rsidR="0009355E" w:rsidRPr="00A81F12" w:rsidRDefault="0009355E" w:rsidP="0009355E">
            <w:pPr>
              <w:ind w:right="-120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  <w:t>Interest expenses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1F8E273" w14:textId="4FD5922E" w:rsidR="0009355E" w:rsidRPr="00A81F12" w:rsidRDefault="0009355E" w:rsidP="0009355E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(2 632 844)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24144593" w14:textId="2C0F3776" w:rsidR="0009355E" w:rsidRPr="00A81F12" w:rsidRDefault="0009355E" w:rsidP="0009355E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(1 698 020)</w:t>
            </w:r>
          </w:p>
        </w:tc>
      </w:tr>
      <w:tr w:rsidR="00362A6C" w:rsidRPr="00447295" w14:paraId="68142CB6" w14:textId="77777777" w:rsidTr="00A81F12">
        <w:trPr>
          <w:gridBefore w:val="1"/>
          <w:gridAfter w:val="1"/>
          <w:wBefore w:w="108" w:type="dxa"/>
          <w:wAfter w:w="732" w:type="dxa"/>
          <w:trHeight w:val="102"/>
        </w:trPr>
        <w:tc>
          <w:tcPr>
            <w:tcW w:w="5954" w:type="dxa"/>
            <w:gridSpan w:val="2"/>
            <w:noWrap/>
            <w:vAlign w:val="center"/>
          </w:tcPr>
          <w:p w14:paraId="6676AF0F" w14:textId="77777777" w:rsidR="00362A6C" w:rsidRPr="00A81F12" w:rsidRDefault="00362A6C" w:rsidP="00362A6C">
            <w:pPr>
              <w:ind w:right="-120"/>
              <w:rPr>
                <w:rFonts w:ascii="PermianSerifTypeface" w:hAnsi="PermianSerifTypeface"/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226D01A" w14:textId="77777777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560A66BC" w14:textId="77777777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en-US"/>
              </w:rPr>
            </w:pPr>
          </w:p>
        </w:tc>
      </w:tr>
      <w:tr w:rsidR="0009355E" w:rsidRPr="00447295" w14:paraId="08C6C54E" w14:textId="77777777" w:rsidTr="00A81F12">
        <w:trPr>
          <w:gridBefore w:val="1"/>
          <w:gridAfter w:val="1"/>
          <w:wBefore w:w="108" w:type="dxa"/>
          <w:wAfter w:w="732" w:type="dxa"/>
          <w:trHeight w:val="80"/>
        </w:trPr>
        <w:tc>
          <w:tcPr>
            <w:tcW w:w="5954" w:type="dxa"/>
            <w:gridSpan w:val="2"/>
            <w:noWrap/>
            <w:vAlign w:val="center"/>
          </w:tcPr>
          <w:p w14:paraId="690429F7" w14:textId="02B79834" w:rsidR="0009355E" w:rsidRPr="00A81F12" w:rsidRDefault="0009355E" w:rsidP="0009355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Other similar expenses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5FCADF7D" w14:textId="7BF0F2FE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(251)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04ECBACC" w14:textId="51AA6EA7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(162)</w:t>
            </w:r>
          </w:p>
        </w:tc>
      </w:tr>
      <w:tr w:rsidR="0009355E" w:rsidRPr="00447295" w14:paraId="47DA6420" w14:textId="77777777" w:rsidTr="00A81F12">
        <w:trPr>
          <w:gridBefore w:val="1"/>
          <w:gridAfter w:val="1"/>
          <w:wBefore w:w="108" w:type="dxa"/>
          <w:wAfter w:w="732" w:type="dxa"/>
          <w:trHeight w:hRule="exact" w:val="113"/>
        </w:trPr>
        <w:tc>
          <w:tcPr>
            <w:tcW w:w="5954" w:type="dxa"/>
            <w:gridSpan w:val="2"/>
            <w:noWrap/>
            <w:vAlign w:val="center"/>
          </w:tcPr>
          <w:p w14:paraId="4C8C06B8" w14:textId="77777777" w:rsidR="0009355E" w:rsidRPr="00A81F12" w:rsidDel="00FC0624" w:rsidRDefault="0009355E" w:rsidP="0009355E">
            <w:pPr>
              <w:ind w:right="-120"/>
              <w:rPr>
                <w:rFonts w:ascii="PermianSerifTypeface" w:hAnsi="PermianSerifTypeface"/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32EAA254" w14:textId="77777777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6E62300D" w14:textId="77777777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en-US"/>
              </w:rPr>
            </w:pPr>
          </w:p>
        </w:tc>
      </w:tr>
      <w:tr w:rsidR="0009355E" w:rsidRPr="00447295" w14:paraId="20E6334C" w14:textId="77777777" w:rsidTr="00A81F12">
        <w:trPr>
          <w:gridBefore w:val="1"/>
          <w:gridAfter w:val="1"/>
          <w:wBefore w:w="108" w:type="dxa"/>
          <w:wAfter w:w="732" w:type="dxa"/>
          <w:trHeight w:val="45"/>
        </w:trPr>
        <w:tc>
          <w:tcPr>
            <w:tcW w:w="5954" w:type="dxa"/>
            <w:gridSpan w:val="2"/>
            <w:noWrap/>
            <w:vAlign w:val="center"/>
          </w:tcPr>
          <w:p w14:paraId="203FEDC7" w14:textId="3CEC7A1D" w:rsidR="0009355E" w:rsidRPr="00A81F12" w:rsidRDefault="0009355E" w:rsidP="000619C3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Net interest </w:t>
            </w:r>
            <w:r w:rsidR="000619C3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income/(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expenses</w:t>
            </w:r>
            <w:r w:rsidR="000619C3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)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and other similar </w:t>
            </w:r>
            <w:r w:rsidR="000619C3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(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expenses</w:t>
            </w:r>
            <w:r w:rsidR="000619C3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F91B014" w14:textId="1CFD95D2" w:rsidR="0009355E" w:rsidRPr="00A81F12" w:rsidRDefault="0009355E" w:rsidP="0009355E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424 884 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231CBF5E" w14:textId="30730D31" w:rsidR="0009355E" w:rsidRPr="00A81F12" w:rsidRDefault="0009355E" w:rsidP="0009355E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(451 151)</w:t>
            </w:r>
          </w:p>
        </w:tc>
      </w:tr>
      <w:tr w:rsidR="00151AE6" w:rsidRPr="00447295" w14:paraId="4A1DFD2A" w14:textId="77777777" w:rsidTr="00A81F12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3A4A9C4A" w14:textId="77777777" w:rsidR="00151AE6" w:rsidRPr="00A81F12" w:rsidRDefault="00151AE6" w:rsidP="00151AE6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5B5A86C4" w14:textId="77777777" w:rsidR="00151AE6" w:rsidRPr="00A81F12" w:rsidRDefault="00151AE6" w:rsidP="00151AE6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3AF0FCC6" w14:textId="77777777" w:rsidR="00151AE6" w:rsidRPr="00A81F12" w:rsidRDefault="00151AE6" w:rsidP="00151AE6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</w:tr>
      <w:tr w:rsidR="0009355E" w:rsidRPr="006978C3" w14:paraId="306578CC" w14:textId="77777777" w:rsidTr="00A81F12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7B8607CD" w14:textId="5B160D12" w:rsidR="0009355E" w:rsidRPr="00A81F12" w:rsidRDefault="0009355E" w:rsidP="0009355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(Losses)/gains from transactions, exchange rate differences and revaluation of precious metals</w:t>
            </w:r>
          </w:p>
        </w:tc>
        <w:tc>
          <w:tcPr>
            <w:tcW w:w="1698" w:type="dxa"/>
            <w:gridSpan w:val="2"/>
            <w:vAlign w:val="center"/>
          </w:tcPr>
          <w:p w14:paraId="5FE6319E" w14:textId="621163FE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sz w:val="22"/>
                <w:szCs w:val="22"/>
              </w:rPr>
              <w:t xml:space="preserve"> (3 659 430)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1D0A54D7" w14:textId="408AEA5E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sz w:val="22"/>
                <w:szCs w:val="22"/>
              </w:rPr>
              <w:t xml:space="preserve"> 3 539 585 </w:t>
            </w:r>
          </w:p>
        </w:tc>
      </w:tr>
      <w:tr w:rsidR="0009355E" w:rsidRPr="006978C3" w14:paraId="6A3D1819" w14:textId="77777777" w:rsidTr="00A81F12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55356377" w14:textId="18C04D24" w:rsidR="0009355E" w:rsidRPr="00A81F12" w:rsidRDefault="000619C3" w:rsidP="0009355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 xml:space="preserve">(Losses)/gains </w:t>
            </w:r>
            <w:r w:rsidR="0009355E"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on financial assets measured at fair value through profit or loss</w:t>
            </w:r>
          </w:p>
        </w:tc>
        <w:tc>
          <w:tcPr>
            <w:tcW w:w="1698" w:type="dxa"/>
            <w:gridSpan w:val="2"/>
            <w:vAlign w:val="center"/>
          </w:tcPr>
          <w:p w14:paraId="7C35A551" w14:textId="457A2662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(15 929)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31141381" w14:textId="2058F0FE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679</w:t>
            </w:r>
          </w:p>
        </w:tc>
      </w:tr>
      <w:tr w:rsidR="0009355E" w:rsidRPr="00447295" w14:paraId="5770D4BA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FD808E5" w14:textId="4E5B135C" w:rsidR="0009355E" w:rsidRPr="00A81F12" w:rsidRDefault="0009355E" w:rsidP="0009355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Losses from securities revaluation</w:t>
            </w:r>
          </w:p>
        </w:tc>
        <w:tc>
          <w:tcPr>
            <w:tcW w:w="1698" w:type="dxa"/>
            <w:gridSpan w:val="2"/>
            <w:vAlign w:val="center"/>
          </w:tcPr>
          <w:p w14:paraId="5DDA0A6A" w14:textId="24FE1982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(126 520)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10CE5A74" w14:textId="0CD8E60F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(12 062)</w:t>
            </w:r>
          </w:p>
        </w:tc>
      </w:tr>
      <w:tr w:rsidR="0009355E" w:rsidRPr="00447295" w14:paraId="7E6B1243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E9DD371" w14:textId="50351A89" w:rsidR="0009355E" w:rsidRPr="00A81F12" w:rsidRDefault="0009355E" w:rsidP="0009355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Other income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27C550CC" w14:textId="7A798C32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79 128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57B9652B" w14:textId="5645174F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44 932</w:t>
            </w:r>
          </w:p>
        </w:tc>
      </w:tr>
      <w:tr w:rsidR="0009355E" w:rsidRPr="00447295" w14:paraId="321DFF2D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CA886E7" w14:textId="46F6A9BC" w:rsidR="0009355E" w:rsidRPr="00A81F12" w:rsidRDefault="0009355E" w:rsidP="000619C3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Impairment gains</w:t>
            </w:r>
            <w:r w:rsidR="000619C3">
              <w:rPr>
                <w:rFonts w:ascii="PermianSerifTypeface" w:hAnsi="PermianSerifTypeface"/>
                <w:sz w:val="22"/>
                <w:szCs w:val="22"/>
                <w:lang w:val="en-US"/>
              </w:rPr>
              <w:t>/</w:t>
            </w:r>
            <w:r w:rsidR="000619C3"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(losses)/</w:t>
            </w: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 xml:space="preserve"> on financial assets</w:t>
            </w:r>
          </w:p>
        </w:tc>
        <w:tc>
          <w:tcPr>
            <w:tcW w:w="1698" w:type="dxa"/>
            <w:gridSpan w:val="2"/>
            <w:vAlign w:val="center"/>
          </w:tcPr>
          <w:p w14:paraId="184C41C8" w14:textId="04931D63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34 521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408464DB" w14:textId="6042B786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(39 546)</w:t>
            </w:r>
          </w:p>
        </w:tc>
      </w:tr>
      <w:tr w:rsidR="0009355E" w:rsidRPr="00447295" w14:paraId="387154DD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3D31E1D" w14:textId="1A457234" w:rsidR="0009355E" w:rsidRPr="00A81F12" w:rsidRDefault="0009355E" w:rsidP="0009355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Personnel expenses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1537244A" w14:textId="3B7CDBBC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(216 744)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7F77F7FB" w14:textId="55FC03C0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(149 468)</w:t>
            </w:r>
          </w:p>
        </w:tc>
      </w:tr>
      <w:tr w:rsidR="0009355E" w:rsidRPr="00447295" w14:paraId="1DCB81FF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ED185B6" w14:textId="1C51E813" w:rsidR="0009355E" w:rsidRPr="00A81F12" w:rsidRDefault="0009355E" w:rsidP="0009355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Production of national currency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70398BD" w14:textId="7656007D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(645)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60079427" w14:textId="110A9DC5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(25 457)</w:t>
            </w:r>
          </w:p>
        </w:tc>
      </w:tr>
      <w:tr w:rsidR="0009355E" w:rsidRPr="00447295" w14:paraId="65B10F5E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2346E7B5" w14:textId="6FA70ABA" w:rsidR="0009355E" w:rsidRPr="00A81F12" w:rsidRDefault="0009355E" w:rsidP="0009355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 xml:space="preserve">Depreciation and </w:t>
            </w:r>
            <w:proofErr w:type="spellStart"/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amortisation</w:t>
            </w:r>
            <w:proofErr w:type="spellEnd"/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233DCF3" w14:textId="1A94B517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(24 951)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AB03A15" w14:textId="0A585AA1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(20 594)</w:t>
            </w:r>
          </w:p>
        </w:tc>
      </w:tr>
      <w:tr w:rsidR="0009355E" w:rsidRPr="00447295" w14:paraId="55534B55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54A77DE3" w14:textId="58A880FE" w:rsidR="0009355E" w:rsidRPr="00A81F12" w:rsidRDefault="0009355E" w:rsidP="0009355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Other operating expenses</w:t>
            </w:r>
          </w:p>
        </w:tc>
        <w:tc>
          <w:tcPr>
            <w:tcW w:w="1698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38954728" w14:textId="70B1EF82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(46 001)</w:t>
            </w:r>
          </w:p>
        </w:tc>
        <w:tc>
          <w:tcPr>
            <w:tcW w:w="1725" w:type="dxa"/>
            <w:gridSpan w:val="3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51D78D44" w14:textId="72312542" w:rsidR="0009355E" w:rsidRPr="00A81F12" w:rsidRDefault="0009355E" w:rsidP="0009355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(46 715)</w:t>
            </w:r>
          </w:p>
        </w:tc>
      </w:tr>
      <w:tr w:rsidR="0009355E" w:rsidRPr="00447295" w14:paraId="39B5BE6D" w14:textId="77777777" w:rsidTr="00A81F12">
        <w:trPr>
          <w:gridBefore w:val="1"/>
          <w:gridAfter w:val="1"/>
          <w:wBefore w:w="108" w:type="dxa"/>
          <w:wAfter w:w="732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777DEFB7" w14:textId="295FCE2C" w:rsidR="0009355E" w:rsidRPr="00A81F12" w:rsidRDefault="0009355E" w:rsidP="0009355E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NET (LOSS)/ PROFIT</w:t>
            </w:r>
          </w:p>
        </w:tc>
        <w:tc>
          <w:tcPr>
            <w:tcW w:w="1698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56238A4" w14:textId="610A3B26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/>
                <w:bCs/>
                <w:sz w:val="22"/>
                <w:szCs w:val="22"/>
              </w:rPr>
              <w:t>(3 551 687)</w:t>
            </w:r>
          </w:p>
        </w:tc>
        <w:tc>
          <w:tcPr>
            <w:tcW w:w="1725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1423BA7B" w14:textId="79CFC76C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/>
                <w:bCs/>
                <w:sz w:val="22"/>
                <w:szCs w:val="22"/>
              </w:rPr>
              <w:t>2 840 203</w:t>
            </w:r>
          </w:p>
        </w:tc>
      </w:tr>
      <w:tr w:rsidR="00151AE6" w:rsidRPr="0026312D" w14:paraId="145AC56A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0C5728DA" w14:textId="24469781" w:rsidR="00AD38BE" w:rsidRPr="00A81F12" w:rsidRDefault="00AD38BE" w:rsidP="00151AE6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3A3BB6DC" w14:textId="77777777" w:rsidR="00151AE6" w:rsidRPr="00A81F12" w:rsidRDefault="00151AE6" w:rsidP="0024407F">
            <w:pPr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5CD902C2" w14:textId="77777777" w:rsidR="00151AE6" w:rsidRPr="00A81F12" w:rsidRDefault="00151AE6" w:rsidP="00151AE6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1C70BE86" w14:textId="77777777" w:rsidR="0009355E" w:rsidRPr="00447295" w:rsidRDefault="0009355E" w:rsidP="0009355E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30</w:t>
            </w: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September</w:t>
            </w: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91BB42F" w14:textId="09E4A94F" w:rsidR="00151AE6" w:rsidRPr="00A81F12" w:rsidRDefault="00151AE6" w:rsidP="00151AE6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202</w:t>
            </w:r>
            <w:r w:rsidR="00E02E54"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719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4CCB0803" w14:textId="77777777" w:rsidR="00151AE6" w:rsidRPr="00A81F12" w:rsidRDefault="00151AE6" w:rsidP="00151AE6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4ACB4981" w14:textId="77777777" w:rsidR="00151AE6" w:rsidRPr="00A81F12" w:rsidRDefault="00151AE6" w:rsidP="00151AE6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2C49CF18" w14:textId="77777777" w:rsidR="0009355E" w:rsidRPr="00447295" w:rsidRDefault="0009355E" w:rsidP="0009355E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30</w:t>
            </w: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September</w:t>
            </w: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5679A925" w14:textId="331A56C8" w:rsidR="00151AE6" w:rsidRPr="00A81F12" w:rsidRDefault="00151AE6" w:rsidP="00151AE6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202</w:t>
            </w:r>
            <w:r w:rsidR="00E02E54"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</w:t>
            </w:r>
          </w:p>
        </w:tc>
      </w:tr>
      <w:tr w:rsidR="00151AE6" w:rsidRPr="0026312D" w14:paraId="43FFBC7F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7954263B" w14:textId="77777777" w:rsidR="00151AE6" w:rsidRPr="00A81F12" w:rsidRDefault="00151AE6" w:rsidP="00151AE6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2C4BA483" w14:textId="49C5BD9F" w:rsidR="00151AE6" w:rsidRPr="00A81F12" w:rsidRDefault="00151AE6" w:rsidP="00151AE6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en-US"/>
              </w:rPr>
              <w:t>MDL’000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6CF311D3" w14:textId="56481419" w:rsidR="00151AE6" w:rsidRPr="00A81F12" w:rsidRDefault="00151AE6" w:rsidP="00151AE6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en-US"/>
              </w:rPr>
              <w:t>MDL’000</w:t>
            </w:r>
          </w:p>
        </w:tc>
      </w:tr>
      <w:tr w:rsidR="00151AE6" w:rsidRPr="0026312D" w14:paraId="37DB0341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44EF1CE4" w14:textId="77777777" w:rsidR="00151AE6" w:rsidRPr="00A81F12" w:rsidRDefault="00151AE6" w:rsidP="00151AE6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24343EFB" w14:textId="77777777" w:rsidR="00151AE6" w:rsidRPr="00A81F12" w:rsidRDefault="00151AE6" w:rsidP="00151AE6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0360E919" w14:textId="77777777" w:rsidR="00151AE6" w:rsidRPr="00A81F12" w:rsidRDefault="00151AE6" w:rsidP="00151AE6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</w:tr>
      <w:tr w:rsidR="00151AE6" w:rsidRPr="0026312D" w14:paraId="7DC91671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68189DAB" w14:textId="535BF777" w:rsidR="00151AE6" w:rsidRPr="00A81F12" w:rsidRDefault="00447295" w:rsidP="00151AE6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Other comprehensive income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136586C9" w14:textId="77777777" w:rsidR="00151AE6" w:rsidRPr="00A81F12" w:rsidRDefault="00151AE6" w:rsidP="00151AE6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top w:val="nil"/>
            </w:tcBorders>
            <w:noWrap/>
            <w:vAlign w:val="center"/>
          </w:tcPr>
          <w:p w14:paraId="38F08272" w14:textId="77777777" w:rsidR="00151AE6" w:rsidRPr="00A81F12" w:rsidRDefault="00151AE6" w:rsidP="00151AE6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</w:tr>
      <w:tr w:rsidR="00151AE6" w:rsidRPr="0026312D" w14:paraId="44190ED9" w14:textId="77777777" w:rsidTr="00A81F12">
        <w:trPr>
          <w:trHeight w:val="99"/>
        </w:trPr>
        <w:tc>
          <w:tcPr>
            <w:tcW w:w="8492" w:type="dxa"/>
            <w:gridSpan w:val="6"/>
            <w:noWrap/>
            <w:vAlign w:val="center"/>
          </w:tcPr>
          <w:p w14:paraId="571181D5" w14:textId="77777777" w:rsidR="00447295" w:rsidRPr="00A81F12" w:rsidRDefault="00447295" w:rsidP="00447295">
            <w:pPr>
              <w:spacing w:before="60"/>
              <w:ind w:right="-300"/>
              <w:rPr>
                <w:rFonts w:ascii="PermianSerifTypeface" w:hAnsi="PermianSerifTypeface"/>
                <w:i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i/>
                <w:sz w:val="22"/>
                <w:szCs w:val="22"/>
                <w:lang w:val="en-US"/>
              </w:rPr>
              <w:t xml:space="preserve">Items that are or may be reclassified </w:t>
            </w:r>
          </w:p>
          <w:p w14:paraId="266EF4BF" w14:textId="34A2728E" w:rsidR="00151AE6" w:rsidRPr="00A81F12" w:rsidRDefault="00447295" w:rsidP="00447295">
            <w:pPr>
              <w:ind w:right="-300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i/>
                <w:sz w:val="22"/>
                <w:szCs w:val="22"/>
                <w:lang w:val="en-US"/>
              </w:rPr>
              <w:t>subsequently to profit or loss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09B01B6E" w14:textId="77777777" w:rsidR="00151AE6" w:rsidRPr="00A81F12" w:rsidRDefault="00151AE6" w:rsidP="00151AE6">
            <w:pPr>
              <w:spacing w:before="60" w:after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</w:tr>
      <w:tr w:rsidR="0009355E" w:rsidRPr="0026312D" w14:paraId="78B355F1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105B640A" w14:textId="54C8FA35" w:rsidR="0009355E" w:rsidRPr="00A81F12" w:rsidRDefault="0009355E" w:rsidP="0009355E">
            <w:pPr>
              <w:spacing w:before="80"/>
              <w:ind w:right="-120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Revaluation of foreign currency securities measured at fair value through other comprehensive income</w:t>
            </w:r>
          </w:p>
        </w:tc>
        <w:tc>
          <w:tcPr>
            <w:tcW w:w="1701" w:type="dxa"/>
            <w:gridSpan w:val="2"/>
            <w:vAlign w:val="center"/>
          </w:tcPr>
          <w:p w14:paraId="1D1998DE" w14:textId="1A480E1C" w:rsidR="0009355E" w:rsidRPr="00A81F12" w:rsidRDefault="0009355E" w:rsidP="0009355E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(304 387)</w:t>
            </w:r>
          </w:p>
        </w:tc>
        <w:tc>
          <w:tcPr>
            <w:tcW w:w="1719" w:type="dxa"/>
            <w:gridSpan w:val="3"/>
            <w:noWrap/>
            <w:vAlign w:val="center"/>
          </w:tcPr>
          <w:p w14:paraId="7A0A5031" w14:textId="3DB03125" w:rsidR="0009355E" w:rsidRPr="00A81F12" w:rsidRDefault="0009355E" w:rsidP="0009355E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(270 893)</w:t>
            </w:r>
          </w:p>
        </w:tc>
      </w:tr>
      <w:tr w:rsidR="0009355E" w:rsidRPr="0026312D" w14:paraId="29B8E8E2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12F4FF5B" w14:textId="0A7BE05F" w:rsidR="0009355E" w:rsidRPr="00A81F12" w:rsidRDefault="0009355E" w:rsidP="0009355E">
            <w:pPr>
              <w:spacing w:before="80"/>
              <w:rPr>
                <w:rFonts w:ascii="PermianSerifTypeface" w:hAnsi="PermianSerifTypeface"/>
                <w:bCs/>
                <w:color w:val="FF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en-US"/>
              </w:rPr>
              <w:t>Exchange rate differences from revaluation of foreign currency securities measured at fair value through other comprehensive income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5BF502D3" w14:textId="3B1A4A6E" w:rsidR="0009355E" w:rsidRPr="00A81F12" w:rsidRDefault="0009355E" w:rsidP="0009355E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4 521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617A3E67" w14:textId="5233CD9F" w:rsidR="0009355E" w:rsidRPr="00A81F12" w:rsidRDefault="0009355E" w:rsidP="0009355E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(9 491)</w:t>
            </w:r>
          </w:p>
        </w:tc>
      </w:tr>
      <w:tr w:rsidR="0009355E" w:rsidRPr="0026312D" w14:paraId="1FB8C9C8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35CAFC6B" w14:textId="43CD8AE6" w:rsidR="0009355E" w:rsidRPr="00A81F12" w:rsidRDefault="0009355E" w:rsidP="0009355E">
            <w:pPr>
              <w:spacing w:before="8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en-US"/>
              </w:rPr>
              <w:t>Impairment losses on foreign currency securities measured at fair value through other comprehensive income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4742784D" w14:textId="28B04B03" w:rsidR="0009355E" w:rsidRPr="00A81F12" w:rsidRDefault="0009355E" w:rsidP="0009355E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3 465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5C0DFD3C" w14:textId="72D2AC46" w:rsidR="0009355E" w:rsidRPr="00A81F12" w:rsidRDefault="0009355E" w:rsidP="0009355E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632</w:t>
            </w:r>
          </w:p>
        </w:tc>
      </w:tr>
      <w:tr w:rsidR="004B7BE4" w:rsidRPr="0026312D" w14:paraId="3231CBCA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0F21AF1D" w14:textId="77777777" w:rsidR="004B7BE4" w:rsidRPr="00A81F12" w:rsidRDefault="004B7BE4" w:rsidP="004B7BE4">
            <w:pPr>
              <w:spacing w:before="6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1A479A85" w14:textId="77777777" w:rsidR="004B7BE4" w:rsidRPr="00A81F12" w:rsidRDefault="004B7BE4" w:rsidP="004B7BE4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47FF8F85" w14:textId="77777777" w:rsidR="004B7BE4" w:rsidRPr="00A81F12" w:rsidRDefault="004B7BE4" w:rsidP="004B7BE4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09355E" w:rsidRPr="0026312D" w14:paraId="15B5F647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3B63E27E" w14:textId="31F5DB9D" w:rsidR="0009355E" w:rsidRPr="00A81F12" w:rsidRDefault="0009355E" w:rsidP="0009355E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COMPREHENSIVE RESULT FOR THE PERIOD</w:t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1F4DB03" w14:textId="1C8A07FD" w:rsidR="0009355E" w:rsidRPr="00A81F12" w:rsidRDefault="0009355E" w:rsidP="0009355E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(3 848 088)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2982B066" w14:textId="093485AF" w:rsidR="0009355E" w:rsidRPr="00A81F12" w:rsidRDefault="0009355E" w:rsidP="0009355E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2 560 451</w:t>
            </w:r>
          </w:p>
        </w:tc>
      </w:tr>
      <w:tr w:rsidR="00151AE6" w:rsidRPr="0026312D" w14:paraId="7336B969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00B5B546" w14:textId="77777777" w:rsidR="00151AE6" w:rsidRPr="00A81F12" w:rsidRDefault="00151AE6" w:rsidP="00151AE6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55F7E9BD" w14:textId="77777777" w:rsidR="00151AE6" w:rsidRPr="00A81F12" w:rsidRDefault="00151AE6" w:rsidP="00151AE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22CED10E" w14:textId="77777777" w:rsidR="00151AE6" w:rsidRPr="00A81F12" w:rsidRDefault="00151AE6" w:rsidP="00151AE6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151AE6" w:rsidRPr="0026312D" w14:paraId="21690E86" w14:textId="77777777" w:rsidTr="00A81F12">
        <w:trPr>
          <w:trHeight w:val="99"/>
        </w:trPr>
        <w:tc>
          <w:tcPr>
            <w:tcW w:w="10217" w:type="dxa"/>
            <w:gridSpan w:val="9"/>
            <w:tcBorders>
              <w:bottom w:val="nil"/>
            </w:tcBorders>
            <w:noWrap/>
            <w:vAlign w:val="center"/>
          </w:tcPr>
          <w:p w14:paraId="1573DB3F" w14:textId="77777777" w:rsidR="00151AE6" w:rsidRPr="00A81F12" w:rsidRDefault="00151AE6" w:rsidP="00151AE6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141E3EF1" w14:textId="07F0D55D" w:rsidR="004B7BE4" w:rsidRPr="00A81F12" w:rsidRDefault="00447295" w:rsidP="004B7BE4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CALCULATION OF THE</w:t>
            </w:r>
            <w:r w:rsidR="000619C3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PROFIT AVAILABLE FOR DISTRUBUTION</w:t>
            </w:r>
            <w:r w:rsidR="000619C3">
              <w:rPr>
                <w:rFonts w:ascii="PermianSerifTypeface" w:hAnsi="PermianSerifTypeface"/>
                <w:b/>
                <w:bCs/>
                <w:sz w:val="22"/>
                <w:szCs w:val="22"/>
              </w:rPr>
              <w:t>/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</w:t>
            </w:r>
            <w:r w:rsidR="00276B2E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(TOTAL</w:t>
            </w:r>
            <w:r w:rsidR="004B7BE4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LOSS</w:t>
            </w:r>
            <w:r w:rsidR="00276B2E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)</w:t>
            </w:r>
          </w:p>
          <w:p w14:paraId="024EBB03" w14:textId="310C9904" w:rsidR="00151AE6" w:rsidRPr="00A81F12" w:rsidRDefault="00151AE6" w:rsidP="00151AE6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09355E" w:rsidRPr="0026312D" w14:paraId="10CE28D4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565EF981" w14:textId="551BBE7E" w:rsidR="0009355E" w:rsidRPr="00A81F12" w:rsidRDefault="0009355E" w:rsidP="0009355E">
            <w:pPr>
              <w:spacing w:before="8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NET (LOSS)/ PROFIT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496BE01" w14:textId="033C32AA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/>
                <w:bCs/>
                <w:sz w:val="22"/>
                <w:szCs w:val="22"/>
              </w:rPr>
              <w:t>(3 551 687)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7603F4AB" w14:textId="69C721E0" w:rsidR="0009355E" w:rsidRPr="00A81F12" w:rsidRDefault="0009355E" w:rsidP="0009355E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/>
                <w:bCs/>
                <w:sz w:val="22"/>
                <w:szCs w:val="22"/>
              </w:rPr>
              <w:t>2 840 203</w:t>
            </w:r>
          </w:p>
        </w:tc>
      </w:tr>
      <w:tr w:rsidR="0009355E" w:rsidRPr="0026312D" w14:paraId="5182BB0A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50010549" w14:textId="03C7A47D" w:rsidR="0009355E" w:rsidRPr="00A81F12" w:rsidRDefault="0009355E" w:rsidP="0009355E">
            <w:pPr>
              <w:spacing w:beforeLines="30" w:before="72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Covering/ (allocation) of unrealized losses/ (gains) from revaluation of foreign currency stocks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234AB2B" w14:textId="1477935F" w:rsidR="0009355E" w:rsidRPr="00A81F12" w:rsidRDefault="0009355E" w:rsidP="0009355E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 xml:space="preserve"> 3 525 262 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49976ECE" w14:textId="7B6BA7BB" w:rsidR="0009355E" w:rsidRPr="00A81F12" w:rsidRDefault="0009355E" w:rsidP="0009355E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 xml:space="preserve"> (3 236 994)</w:t>
            </w:r>
          </w:p>
        </w:tc>
      </w:tr>
      <w:tr w:rsidR="0009355E" w:rsidRPr="0026312D" w14:paraId="6A1754D1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1F4E3F2F" w14:textId="444E03F9" w:rsidR="0009355E" w:rsidRPr="00A81F12" w:rsidRDefault="000619C3" w:rsidP="0009355E">
            <w:pPr>
              <w:spacing w:beforeLines="30" w:before="72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 xml:space="preserve">Covering </w:t>
            </w:r>
            <w:r w:rsidR="0009355E"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 xml:space="preserve">of unrealized </w:t>
            </w: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 xml:space="preserve"> losses </w:t>
            </w:r>
            <w:r w:rsidR="0009355E"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from revaluation of precious metals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17DAABAB" w14:textId="0B9FD29A" w:rsidR="0009355E" w:rsidRPr="00A81F12" w:rsidRDefault="0009355E" w:rsidP="0009355E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 xml:space="preserve"> 288 </w:t>
            </w: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3AF87E70" w14:textId="1406A415" w:rsidR="0009355E" w:rsidRPr="00A81F12" w:rsidRDefault="0009355E" w:rsidP="0009355E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 xml:space="preserve"> 566 </w:t>
            </w:r>
          </w:p>
        </w:tc>
      </w:tr>
      <w:tr w:rsidR="0009355E" w:rsidRPr="0026312D" w14:paraId="55A1B3DE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1C1DD6BB" w14:textId="77777777" w:rsidR="0009355E" w:rsidRPr="00A81F12" w:rsidRDefault="0009355E" w:rsidP="0009355E">
            <w:pPr>
              <w:spacing w:beforeLines="40" w:before="96"/>
              <w:ind w:right="-1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3FC380A0" w14:textId="77777777" w:rsidR="0009355E" w:rsidRPr="00A81F12" w:rsidRDefault="0009355E" w:rsidP="0009355E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4A2A58E9" w14:textId="77777777" w:rsidR="0009355E" w:rsidRPr="00A81F12" w:rsidRDefault="0009355E" w:rsidP="0009355E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</w:tr>
      <w:tr w:rsidR="0009355E" w:rsidRPr="0026312D" w14:paraId="0F745493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377E2198" w14:textId="2245F926" w:rsidR="0009355E" w:rsidRPr="00A81F12" w:rsidRDefault="0009355E" w:rsidP="000619C3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(TOTAL LOSS)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*</w:t>
            </w:r>
            <w:r w:rsidRPr="00A81F12">
              <w:rPr>
                <w:rStyle w:val="EndnoteReference"/>
                <w:rFonts w:ascii="PermianSerifTypeface" w:hAnsi="PermianSerifTypeface"/>
                <w:b/>
                <w:bCs/>
                <w:color w:val="FFFFFF" w:themeColor="background1"/>
                <w:sz w:val="22"/>
                <w:szCs w:val="22"/>
                <w:lang w:val="en-US"/>
              </w:rPr>
              <w:endnoteReference w:id="1"/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CDB84CE" w14:textId="4550C21F" w:rsidR="0009355E" w:rsidRPr="00A81F12" w:rsidRDefault="0009355E" w:rsidP="0009355E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(26 137)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0C82C2B5" w14:textId="50EE42E1" w:rsidR="0009355E" w:rsidRPr="00A81F12" w:rsidRDefault="0009355E" w:rsidP="0009355E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(396 225)</w:t>
            </w:r>
          </w:p>
        </w:tc>
      </w:tr>
    </w:tbl>
    <w:p w14:paraId="7CDD556E" w14:textId="77777777" w:rsidR="00A75602" w:rsidRPr="00447295" w:rsidRDefault="00A75602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5223487B" w14:textId="77777777" w:rsidR="001E2FB9" w:rsidRPr="00447295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4A4F53BF" w14:textId="77777777" w:rsidR="00AD38BE" w:rsidRPr="00447295" w:rsidRDefault="00AD38B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1D23563" w14:textId="7856C9B0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4846405" w14:textId="55FDE0C4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7A4ADF3" w14:textId="53B20896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0003D01" w14:textId="54313963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F7365B3" w14:textId="091182F6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FD9BF73" w14:textId="5F92A5CC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7EF693D" w14:textId="56A512BD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80EEE9A" w14:textId="77777777" w:rsidR="000E5A8C" w:rsidRPr="00447295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60E1ED0" w14:textId="77777777" w:rsidR="001E2FB9" w:rsidRPr="00447295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6C11211" w14:textId="77777777" w:rsidR="001E2FB9" w:rsidRPr="00447295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sectPr w:rsidR="001E2FB9" w:rsidRPr="00447295" w:rsidSect="00D3059E">
      <w:headerReference w:type="default" r:id="rId8"/>
      <w:pgSz w:w="11906" w:h="16838"/>
      <w:pgMar w:top="1702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A0CDD" w14:textId="77777777" w:rsidR="00BC3A26" w:rsidRDefault="00BC3A26" w:rsidP="00A75602">
      <w:pPr>
        <w:spacing w:after="0" w:line="240" w:lineRule="auto"/>
      </w:pPr>
      <w:r>
        <w:separator/>
      </w:r>
    </w:p>
  </w:endnote>
  <w:endnote w:type="continuationSeparator" w:id="0">
    <w:p w14:paraId="5B10FAF5" w14:textId="77777777" w:rsidR="00BC3A26" w:rsidRDefault="00BC3A26" w:rsidP="00A75602">
      <w:pPr>
        <w:spacing w:after="0" w:line="240" w:lineRule="auto"/>
      </w:pPr>
      <w:r>
        <w:continuationSeparator/>
      </w:r>
    </w:p>
  </w:endnote>
  <w:endnote w:id="1">
    <w:p w14:paraId="630CBE1A" w14:textId="77777777" w:rsidR="0009355E" w:rsidRDefault="0009355E" w:rsidP="0009355E">
      <w:pPr>
        <w:pStyle w:val="Footer"/>
      </w:pPr>
      <w:r w:rsidRPr="0086539A">
        <w:rPr>
          <w:rFonts w:ascii="PermianSerifTypeface" w:eastAsia="Times New Roman" w:hAnsi="PermianSerifTypeface" w:cs="Times New Roman"/>
          <w:sz w:val="18"/>
          <w:szCs w:val="18"/>
          <w:lang w:val="en-US"/>
        </w:rPr>
        <w:t>*</w:t>
      </w:r>
      <w:bookmarkStart w:id="0" w:name="_GoBack"/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According to art. 20 of the Law on the National Bank of Moldova no. 548/1995 the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 total loss/</w:t>
      </w:r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 profit available for distribution is determined and recorded at the end of the financial year, therefore 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total loss/</w:t>
      </w:r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profit available for distributio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n </w:t>
      </w:r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in interim financial statements 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are</w:t>
      </w:r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 provided for information purposes only</w:t>
      </w:r>
      <w:bookmarkEnd w:id="0"/>
      <w:r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.</w:t>
      </w:r>
    </w:p>
    <w:p w14:paraId="112CC775" w14:textId="1C5AD0E6" w:rsidR="0009355E" w:rsidRPr="0086539A" w:rsidRDefault="0009355E" w:rsidP="001E2FB9">
      <w:pPr>
        <w:pStyle w:val="Header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55246" w14:textId="77777777" w:rsidR="00BC3A26" w:rsidRDefault="00BC3A26" w:rsidP="00A75602">
      <w:pPr>
        <w:spacing w:after="0" w:line="240" w:lineRule="auto"/>
      </w:pPr>
      <w:r>
        <w:separator/>
      </w:r>
    </w:p>
  </w:footnote>
  <w:footnote w:type="continuationSeparator" w:id="0">
    <w:p w14:paraId="5E7D74CD" w14:textId="77777777" w:rsidR="00BC3A26" w:rsidRDefault="00BC3A26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4C948" w14:textId="569105B5" w:rsidR="00523554" w:rsidRDefault="0086539A" w:rsidP="00523554">
    <w:pPr>
      <w:pStyle w:val="Header"/>
      <w:ind w:left="709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E026FEA" wp14:editId="20107AE2">
          <wp:simplePos x="0" y="0"/>
          <wp:positionH relativeFrom="column">
            <wp:posOffset>-379994</wp:posOffset>
          </wp:positionH>
          <wp:positionV relativeFrom="paragraph">
            <wp:posOffset>-110837</wp:posOffset>
          </wp:positionV>
          <wp:extent cx="2847340" cy="385445"/>
          <wp:effectExtent l="0" t="0" r="0" b="0"/>
          <wp:wrapNone/>
          <wp:docPr id="8" name="Picture 8" descr="C:\IVN\Web BNM\Server - NEWWEB\brandbook\Logo BNM\EN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IVN\Web BNM\Server - NEWWEB\brandbook\Logo BNM\EN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7216"/>
    <w:rsid w:val="00044A74"/>
    <w:rsid w:val="000619C3"/>
    <w:rsid w:val="00076A70"/>
    <w:rsid w:val="0009355E"/>
    <w:rsid w:val="000A44B6"/>
    <w:rsid w:val="000D2E3D"/>
    <w:rsid w:val="000E3511"/>
    <w:rsid w:val="000E5A8C"/>
    <w:rsid w:val="00110B13"/>
    <w:rsid w:val="00151AE6"/>
    <w:rsid w:val="001608C6"/>
    <w:rsid w:val="001A0647"/>
    <w:rsid w:val="001E0157"/>
    <w:rsid w:val="001E2FB9"/>
    <w:rsid w:val="001F0F8E"/>
    <w:rsid w:val="001F6476"/>
    <w:rsid w:val="0020756A"/>
    <w:rsid w:val="0020757F"/>
    <w:rsid w:val="0022150A"/>
    <w:rsid w:val="00237D20"/>
    <w:rsid w:val="0024004F"/>
    <w:rsid w:val="0024407F"/>
    <w:rsid w:val="00262D70"/>
    <w:rsid w:val="0026312D"/>
    <w:rsid w:val="00276B2E"/>
    <w:rsid w:val="00282733"/>
    <w:rsid w:val="00291BB1"/>
    <w:rsid w:val="00325035"/>
    <w:rsid w:val="003354BC"/>
    <w:rsid w:val="003431DE"/>
    <w:rsid w:val="00344677"/>
    <w:rsid w:val="00356CB3"/>
    <w:rsid w:val="00360BAC"/>
    <w:rsid w:val="00362A6C"/>
    <w:rsid w:val="00385CE7"/>
    <w:rsid w:val="00387D1C"/>
    <w:rsid w:val="003C3F85"/>
    <w:rsid w:val="003C6981"/>
    <w:rsid w:val="003D2E99"/>
    <w:rsid w:val="003F3E6A"/>
    <w:rsid w:val="00407039"/>
    <w:rsid w:val="00417DAD"/>
    <w:rsid w:val="00446930"/>
    <w:rsid w:val="00447295"/>
    <w:rsid w:val="0046214E"/>
    <w:rsid w:val="00482C44"/>
    <w:rsid w:val="0048691E"/>
    <w:rsid w:val="004A3640"/>
    <w:rsid w:val="004A4B2E"/>
    <w:rsid w:val="004B5663"/>
    <w:rsid w:val="004B7BE4"/>
    <w:rsid w:val="004D26B6"/>
    <w:rsid w:val="004F0B46"/>
    <w:rsid w:val="00523554"/>
    <w:rsid w:val="00556D46"/>
    <w:rsid w:val="00580BA8"/>
    <w:rsid w:val="005F4718"/>
    <w:rsid w:val="006402E5"/>
    <w:rsid w:val="006510BD"/>
    <w:rsid w:val="00673758"/>
    <w:rsid w:val="00681CD2"/>
    <w:rsid w:val="006978C3"/>
    <w:rsid w:val="006B30D5"/>
    <w:rsid w:val="006B392D"/>
    <w:rsid w:val="006C5F08"/>
    <w:rsid w:val="006E13FC"/>
    <w:rsid w:val="00710C4E"/>
    <w:rsid w:val="00732D34"/>
    <w:rsid w:val="007332C7"/>
    <w:rsid w:val="00735A7C"/>
    <w:rsid w:val="00745881"/>
    <w:rsid w:val="0075435B"/>
    <w:rsid w:val="00786B52"/>
    <w:rsid w:val="00795661"/>
    <w:rsid w:val="007A56F6"/>
    <w:rsid w:val="007B1108"/>
    <w:rsid w:val="007B3650"/>
    <w:rsid w:val="007C3A5C"/>
    <w:rsid w:val="007D2523"/>
    <w:rsid w:val="007D6B10"/>
    <w:rsid w:val="007F0A91"/>
    <w:rsid w:val="0082438F"/>
    <w:rsid w:val="008417F3"/>
    <w:rsid w:val="008472F4"/>
    <w:rsid w:val="0086539A"/>
    <w:rsid w:val="008700A9"/>
    <w:rsid w:val="00896C25"/>
    <w:rsid w:val="008C1415"/>
    <w:rsid w:val="008D6253"/>
    <w:rsid w:val="008E11B5"/>
    <w:rsid w:val="008F0F5F"/>
    <w:rsid w:val="00947684"/>
    <w:rsid w:val="009555C1"/>
    <w:rsid w:val="009A296D"/>
    <w:rsid w:val="009F70CA"/>
    <w:rsid w:val="00A07A6F"/>
    <w:rsid w:val="00A75602"/>
    <w:rsid w:val="00A81F12"/>
    <w:rsid w:val="00AB3FBB"/>
    <w:rsid w:val="00AD38BE"/>
    <w:rsid w:val="00AE44CE"/>
    <w:rsid w:val="00AF4D97"/>
    <w:rsid w:val="00B612CE"/>
    <w:rsid w:val="00B7541E"/>
    <w:rsid w:val="00BA582E"/>
    <w:rsid w:val="00BC3A26"/>
    <w:rsid w:val="00BD417C"/>
    <w:rsid w:val="00BD5AE8"/>
    <w:rsid w:val="00BF07F5"/>
    <w:rsid w:val="00BF38D8"/>
    <w:rsid w:val="00C06FA5"/>
    <w:rsid w:val="00C7039B"/>
    <w:rsid w:val="00C729BC"/>
    <w:rsid w:val="00C775B6"/>
    <w:rsid w:val="00CA3AE8"/>
    <w:rsid w:val="00CC3788"/>
    <w:rsid w:val="00CE2313"/>
    <w:rsid w:val="00D06E1B"/>
    <w:rsid w:val="00D3059E"/>
    <w:rsid w:val="00D409DD"/>
    <w:rsid w:val="00D7414C"/>
    <w:rsid w:val="00D74695"/>
    <w:rsid w:val="00D76117"/>
    <w:rsid w:val="00DA4BF4"/>
    <w:rsid w:val="00DC21D0"/>
    <w:rsid w:val="00DE7C44"/>
    <w:rsid w:val="00E02E54"/>
    <w:rsid w:val="00E270C0"/>
    <w:rsid w:val="00E377EC"/>
    <w:rsid w:val="00E73BD7"/>
    <w:rsid w:val="00E95C86"/>
    <w:rsid w:val="00EB0E0F"/>
    <w:rsid w:val="00EB48FA"/>
    <w:rsid w:val="00EC3857"/>
    <w:rsid w:val="00EC666F"/>
    <w:rsid w:val="00F2474C"/>
    <w:rsid w:val="00F512C5"/>
    <w:rsid w:val="00FA1096"/>
    <w:rsid w:val="00FB21AC"/>
    <w:rsid w:val="00FE2EC2"/>
    <w:rsid w:val="00FE5C0B"/>
    <w:rsid w:val="00FF2EC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4AA052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5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3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3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3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C6FE-E883-4D26-A14B-BC3D45A3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2023-10-17T16:48:00Z</cp:lastPrinted>
  <dcterms:created xsi:type="dcterms:W3CDTF">2023-10-28T19:45:00Z</dcterms:created>
  <dcterms:modified xsi:type="dcterms:W3CDTF">2023-10-28T19:45:00Z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99095974-f6f8-48ce-83d6-2913d93f8b03</vt:lpwstr>
  </property>
  <property fmtid="{D5CDD505-2E9C-101B-9397-08002B2CF9AE}" pid="3" name="Clasificare">
    <vt:lpwstr>NONE</vt:lpwstr>
  </property>
</Properties>
</file>