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48D1"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НАЦИОНАЛЬНЫЙ БАНК МОЛДОВЫ</w:t>
      </w:r>
    </w:p>
    <w:p w14:paraId="5C9F515E" w14:textId="6C821524" w:rsidR="008B731E" w:rsidRPr="00062BDA" w:rsidRDefault="008B731E" w:rsidP="008B731E">
      <w:pPr>
        <w:spacing w:after="0" w:line="240" w:lineRule="auto"/>
        <w:jc w:val="center"/>
        <w:rPr>
          <w:rFonts w:ascii="Times New Roman" w:hAnsi="Times New Roman" w:cs="Times New Roman"/>
          <w:sz w:val="22"/>
          <w:szCs w:val="22"/>
          <w:lang w:val="ru-RU"/>
        </w:rPr>
      </w:pPr>
    </w:p>
    <w:p w14:paraId="67015C03"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ПОСТАНОВЛЕНИЕ</w:t>
      </w:r>
    </w:p>
    <w:p w14:paraId="3A33C944"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о внесении изменений в Регламент о крупных подверженностях,</w:t>
      </w:r>
    </w:p>
    <w:p w14:paraId="6FBCF7F0"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утвержденный Постановлением Исполнительного комитета</w:t>
      </w:r>
    </w:p>
    <w:p w14:paraId="3F80A1E8"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Национального банка Молдовы № 109/2019</w:t>
      </w:r>
    </w:p>
    <w:p w14:paraId="44D01487" w14:textId="5571FBF0" w:rsidR="008B731E" w:rsidRPr="00062BDA" w:rsidRDefault="008B731E" w:rsidP="008B731E">
      <w:pPr>
        <w:spacing w:after="0" w:line="240" w:lineRule="auto"/>
        <w:jc w:val="center"/>
        <w:rPr>
          <w:rFonts w:ascii="Times New Roman" w:hAnsi="Times New Roman" w:cs="Times New Roman"/>
          <w:b/>
          <w:bCs/>
          <w:sz w:val="22"/>
          <w:szCs w:val="22"/>
          <w:lang w:val="ru-RU"/>
        </w:rPr>
      </w:pPr>
    </w:p>
    <w:p w14:paraId="7DB05150"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 177  от  31.07.2025</w:t>
      </w:r>
    </w:p>
    <w:p w14:paraId="702C54D5" w14:textId="40C46E5D" w:rsidR="008B731E" w:rsidRPr="00062BDA" w:rsidRDefault="008B731E" w:rsidP="008B731E">
      <w:pPr>
        <w:spacing w:after="0" w:line="240" w:lineRule="auto"/>
        <w:jc w:val="center"/>
        <w:rPr>
          <w:rFonts w:ascii="Times New Roman" w:hAnsi="Times New Roman" w:cs="Times New Roman"/>
          <w:sz w:val="22"/>
          <w:szCs w:val="22"/>
          <w:lang w:val="ru-RU"/>
        </w:rPr>
      </w:pPr>
      <w:r w:rsidRPr="00062BDA">
        <w:rPr>
          <w:rFonts w:ascii="Times New Roman" w:hAnsi="Times New Roman" w:cs="Times New Roman"/>
          <w:i/>
          <w:iCs/>
          <w:sz w:val="22"/>
          <w:szCs w:val="22"/>
          <w:lang w:val="ru-RU"/>
        </w:rPr>
        <w:t>(в силу 06.11.2025)</w:t>
      </w:r>
    </w:p>
    <w:p w14:paraId="6FBF696F" w14:textId="4ACAC8EA" w:rsidR="008B731E" w:rsidRPr="00062BDA" w:rsidRDefault="008B731E" w:rsidP="008B731E">
      <w:pPr>
        <w:spacing w:after="0" w:line="240" w:lineRule="auto"/>
        <w:jc w:val="center"/>
        <w:rPr>
          <w:rFonts w:ascii="Times New Roman" w:hAnsi="Times New Roman" w:cs="Times New Roman"/>
          <w:sz w:val="22"/>
          <w:szCs w:val="22"/>
          <w:lang w:val="ru-RU"/>
        </w:rPr>
      </w:pPr>
    </w:p>
    <w:p w14:paraId="1D3CC37C" w14:textId="77777777" w:rsidR="008B731E" w:rsidRPr="00062BDA" w:rsidRDefault="008B731E" w:rsidP="008B731E">
      <w:pPr>
        <w:spacing w:after="0" w:line="240" w:lineRule="auto"/>
        <w:jc w:val="center"/>
        <w:rPr>
          <w:rFonts w:ascii="Times New Roman" w:hAnsi="Times New Roman" w:cs="Times New Roman"/>
          <w:sz w:val="22"/>
          <w:szCs w:val="22"/>
          <w:lang w:val="ru-RU"/>
        </w:rPr>
      </w:pPr>
      <w:proofErr w:type="spellStart"/>
      <w:r w:rsidRPr="00062BDA">
        <w:rPr>
          <w:rFonts w:ascii="Times New Roman" w:hAnsi="Times New Roman" w:cs="Times New Roman"/>
          <w:sz w:val="22"/>
          <w:szCs w:val="22"/>
          <w:lang w:val="ru-RU"/>
        </w:rPr>
        <w:t>Мониторул</w:t>
      </w:r>
      <w:proofErr w:type="spellEnd"/>
      <w:r w:rsidRPr="00062BDA">
        <w:rPr>
          <w:rFonts w:ascii="Times New Roman" w:hAnsi="Times New Roman" w:cs="Times New Roman"/>
          <w:sz w:val="22"/>
          <w:szCs w:val="22"/>
          <w:lang w:val="ru-RU"/>
        </w:rPr>
        <w:t xml:space="preserve"> </w:t>
      </w:r>
      <w:proofErr w:type="spellStart"/>
      <w:r w:rsidRPr="00062BDA">
        <w:rPr>
          <w:rFonts w:ascii="Times New Roman" w:hAnsi="Times New Roman" w:cs="Times New Roman"/>
          <w:sz w:val="22"/>
          <w:szCs w:val="22"/>
          <w:lang w:val="ru-RU"/>
        </w:rPr>
        <w:t>Офичиал</w:t>
      </w:r>
      <w:proofErr w:type="spellEnd"/>
      <w:r w:rsidRPr="00062BDA">
        <w:rPr>
          <w:rFonts w:ascii="Times New Roman" w:hAnsi="Times New Roman" w:cs="Times New Roman"/>
          <w:sz w:val="22"/>
          <w:szCs w:val="22"/>
          <w:lang w:val="ru-RU"/>
        </w:rPr>
        <w:t xml:space="preserve"> ал Р. Молдова № 417-419 ст. 677 от 06.08.2025</w:t>
      </w:r>
    </w:p>
    <w:p w14:paraId="3F241EC6" w14:textId="608A9EC2" w:rsidR="008B731E" w:rsidRPr="00062BDA" w:rsidRDefault="008B731E" w:rsidP="008B731E">
      <w:pPr>
        <w:spacing w:after="0" w:line="240" w:lineRule="auto"/>
        <w:jc w:val="center"/>
        <w:rPr>
          <w:rFonts w:ascii="Times New Roman" w:hAnsi="Times New Roman" w:cs="Times New Roman"/>
          <w:sz w:val="22"/>
          <w:szCs w:val="22"/>
          <w:lang w:val="ru-RU"/>
        </w:rPr>
      </w:pPr>
    </w:p>
    <w:p w14:paraId="67BD6AA5" w14:textId="77777777" w:rsidR="008B731E" w:rsidRPr="00062BDA" w:rsidRDefault="008B731E" w:rsidP="008B731E">
      <w:pPr>
        <w:spacing w:after="0" w:line="240" w:lineRule="auto"/>
        <w:jc w:val="center"/>
        <w:rPr>
          <w:rFonts w:ascii="Times New Roman" w:hAnsi="Times New Roman" w:cs="Times New Roman"/>
          <w:sz w:val="22"/>
          <w:szCs w:val="22"/>
          <w:lang w:val="ru-RU"/>
        </w:rPr>
      </w:pPr>
      <w:r w:rsidRPr="00062BDA">
        <w:rPr>
          <w:rFonts w:ascii="Times New Roman" w:hAnsi="Times New Roman" w:cs="Times New Roman"/>
          <w:sz w:val="22"/>
          <w:szCs w:val="22"/>
          <w:lang w:val="ru-RU"/>
        </w:rPr>
        <w:t>* * *</w:t>
      </w:r>
    </w:p>
    <w:p w14:paraId="68B1182D"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На основании ст.74 Закона о деятельности банков № 202/2017 (Официальный монитор Республики Молдова, 2017, № 434-439, ст.727), с последующими изменениями, Исполнительный комитет Национального банка Молдовы</w:t>
      </w:r>
    </w:p>
    <w:p w14:paraId="6CF96730"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ПОСТАНОВЛЯЕТ:</w:t>
      </w:r>
    </w:p>
    <w:p w14:paraId="36F88B68"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Настоящее постановление перелагает Делегированный регламент Комиссии (ЕС) 2022/1011 от 10 марта 2022 года, дополняющий Регламент (ЕС) № 575/2013 Европейского парламента и Совета о нормативных технических стандартах, определяющих метод определения косвенных рисков для клиента, возникающих из производных и кредитных производных договоров, когда договоры не заключаются напрямую с этим клиентом, но базовый долговой или долевой инструмент был выпущен этим клиентом, опубликованный в Официальном журнале Европейского Союза серии L 170 от 28 июня 2022 года, № CELEX 32022R1011.</w:t>
      </w:r>
    </w:p>
    <w:p w14:paraId="7808EF11"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w:t>
      </w:r>
      <w:r w:rsidRPr="00062BDA">
        <w:rPr>
          <w:rFonts w:ascii="Times New Roman" w:hAnsi="Times New Roman" w:cs="Times New Roman"/>
          <w:sz w:val="22"/>
          <w:szCs w:val="22"/>
          <w:lang w:val="ru-RU"/>
        </w:rPr>
        <w:t xml:space="preserve"> В Регламент о крупных подверженностях, утвержденный Постановлением Исполнительного комитета Национального банка Молдовы № 109/2019 (Официальный монитор Республики Молдова, 2019, № 139-147, ст.704), зарегистрированным в Министерстве юстиции под № 1437/2019, внести следующие изменения:</w:t>
      </w:r>
    </w:p>
    <w:p w14:paraId="09C85AA9"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1.1.</w:t>
      </w:r>
      <w:r w:rsidRPr="00062BDA">
        <w:rPr>
          <w:rFonts w:ascii="Times New Roman" w:hAnsi="Times New Roman" w:cs="Times New Roman"/>
          <w:sz w:val="22"/>
          <w:szCs w:val="22"/>
          <w:lang w:val="ru-RU"/>
        </w:rPr>
        <w:t xml:space="preserve"> формулу гармонизации дополнить текстом:</w:t>
      </w:r>
    </w:p>
    <w:p w14:paraId="664AC60E"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перелагает Делегированный регламент Комиссии (ЕС) 2022/1011 от 10 марта 2022 года, дополняющий Регламент (ЕС) № 575/2013 Европейского парламента и Совета о нормативных технических стандартах, определяющих метод определения косвенных рисков для клиента, возникающих из производных и кредитных производных договоров, когда договоры не заключаются напрямую с этим клиентом, но базовый долговой или долевой инструмент был выпущен этим клиентом, опубликованный в Официальном журнале Европейского Союза серии L 170 от 28 июня 2022 года, № CELEX 32022R1011.";</w:t>
      </w:r>
    </w:p>
    <w:p w14:paraId="5D9CFDEC"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1.2.</w:t>
      </w:r>
      <w:r w:rsidRPr="00062BDA">
        <w:rPr>
          <w:rFonts w:ascii="Times New Roman" w:hAnsi="Times New Roman" w:cs="Times New Roman"/>
          <w:sz w:val="22"/>
          <w:szCs w:val="22"/>
          <w:lang w:val="ru-RU"/>
        </w:rPr>
        <w:t xml:space="preserve"> в регламенте на русском языке текст остается без изменений;</w:t>
      </w:r>
    </w:p>
    <w:p w14:paraId="6AC623B8"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1.3.</w:t>
      </w:r>
      <w:r w:rsidRPr="00062BDA">
        <w:rPr>
          <w:rFonts w:ascii="Times New Roman" w:hAnsi="Times New Roman" w:cs="Times New Roman"/>
          <w:sz w:val="22"/>
          <w:szCs w:val="22"/>
          <w:lang w:val="ru-RU"/>
        </w:rPr>
        <w:t xml:space="preserve"> дополнить пунктом 14</w:t>
      </w:r>
      <w:r w:rsidRPr="00062BDA">
        <w:rPr>
          <w:rFonts w:ascii="Times New Roman" w:hAnsi="Times New Roman" w:cs="Times New Roman"/>
          <w:sz w:val="22"/>
          <w:szCs w:val="22"/>
          <w:vertAlign w:val="superscript"/>
          <w:lang w:val="ru-RU"/>
        </w:rPr>
        <w:t>2</w:t>
      </w:r>
      <w:r w:rsidRPr="00062BDA">
        <w:rPr>
          <w:rFonts w:ascii="Times New Roman" w:hAnsi="Times New Roman" w:cs="Times New Roman"/>
          <w:sz w:val="22"/>
          <w:szCs w:val="22"/>
          <w:lang w:val="ru-RU"/>
        </w:rPr>
        <w:t xml:space="preserve"> следующего содержания:</w:t>
      </w:r>
    </w:p>
    <w:p w14:paraId="4E5533A4"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w:t>
      </w:r>
      <w:r w:rsidRPr="00062BDA">
        <w:rPr>
          <w:rFonts w:ascii="Times New Roman" w:hAnsi="Times New Roman" w:cs="Times New Roman"/>
          <w:b/>
          <w:bCs/>
          <w:sz w:val="22"/>
          <w:szCs w:val="22"/>
          <w:lang w:val="ru-RU"/>
        </w:rPr>
        <w:t>14</w:t>
      </w:r>
      <w:r w:rsidRPr="00062BDA">
        <w:rPr>
          <w:rFonts w:ascii="Times New Roman" w:hAnsi="Times New Roman" w:cs="Times New Roman"/>
          <w:b/>
          <w:bCs/>
          <w:sz w:val="22"/>
          <w:szCs w:val="22"/>
          <w:vertAlign w:val="superscript"/>
          <w:lang w:val="ru-RU"/>
        </w:rPr>
        <w:t>2</w:t>
      </w:r>
      <w:r w:rsidRPr="00062BDA">
        <w:rPr>
          <w:rFonts w:ascii="Times New Roman" w:hAnsi="Times New Roman" w:cs="Times New Roman"/>
          <w:b/>
          <w:bCs/>
          <w:sz w:val="22"/>
          <w:szCs w:val="22"/>
          <w:lang w:val="ru-RU"/>
        </w:rPr>
        <w:t>.</w:t>
      </w:r>
      <w:r w:rsidRPr="00062BDA">
        <w:rPr>
          <w:rFonts w:ascii="Times New Roman" w:hAnsi="Times New Roman" w:cs="Times New Roman"/>
          <w:sz w:val="22"/>
          <w:szCs w:val="22"/>
          <w:lang w:val="ru-RU"/>
        </w:rPr>
        <w:t xml:space="preserve"> Банки рассчитывают размер косвенной подверженности перед клиентом, возникающей из производных договоров, перечисленных в приложении № 1 к Регламенту № 114/2018, и из кредитных производных договоров, если производные договора не заключаются напрямую с этим клиентом, но базовый долговой или долевой инструмент был выпущен этим клиентом, в соответствии с методологией, изложенной в приложении 1</w:t>
      </w:r>
      <w:r w:rsidRPr="00062BDA">
        <w:rPr>
          <w:rFonts w:ascii="Times New Roman" w:hAnsi="Times New Roman" w:cs="Times New Roman"/>
          <w:sz w:val="22"/>
          <w:szCs w:val="22"/>
          <w:vertAlign w:val="superscript"/>
          <w:lang w:val="ru-RU"/>
        </w:rPr>
        <w:t>1</w:t>
      </w:r>
      <w:r w:rsidRPr="00062BDA">
        <w:rPr>
          <w:rFonts w:ascii="Times New Roman" w:hAnsi="Times New Roman" w:cs="Times New Roman"/>
          <w:sz w:val="22"/>
          <w:szCs w:val="22"/>
          <w:lang w:val="ru-RU"/>
        </w:rPr>
        <w:t>.";</w:t>
      </w:r>
    </w:p>
    <w:p w14:paraId="35AB06B3"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1.4.</w:t>
      </w:r>
      <w:r w:rsidRPr="00062BDA">
        <w:rPr>
          <w:rFonts w:ascii="Times New Roman" w:hAnsi="Times New Roman" w:cs="Times New Roman"/>
          <w:sz w:val="22"/>
          <w:szCs w:val="22"/>
          <w:lang w:val="ru-RU"/>
        </w:rPr>
        <w:t xml:space="preserve"> в регламенте на русском языке текст остается без изменений;</w:t>
      </w:r>
    </w:p>
    <w:p w14:paraId="7D2CDEFC"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1.5.</w:t>
      </w:r>
      <w:r w:rsidRPr="00062BDA">
        <w:rPr>
          <w:rFonts w:ascii="Times New Roman" w:hAnsi="Times New Roman" w:cs="Times New Roman"/>
          <w:sz w:val="22"/>
          <w:szCs w:val="22"/>
          <w:lang w:val="ru-RU"/>
        </w:rPr>
        <w:t xml:space="preserve"> в пункте 36:</w:t>
      </w:r>
    </w:p>
    <w:p w14:paraId="3D736135"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1.5.1. в вводной части слово "пункта" заменить словом "пунктов";</w:t>
      </w:r>
    </w:p>
    <w:p w14:paraId="0E650B3E"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1.5.2. в подпункте 9) текст "Законом № 575/2003 о гарантировании депозитов в банковской системе" (Официальный монитор Республики Молдова, № 30–34/169, 20.02.2004)" заменить текстом "Законом о гарантировании депозитов в банках № 160/2023";</w:t>
      </w:r>
    </w:p>
    <w:p w14:paraId="556D0CF5"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1.6.</w:t>
      </w:r>
      <w:r w:rsidRPr="00062BDA">
        <w:rPr>
          <w:rFonts w:ascii="Times New Roman" w:hAnsi="Times New Roman" w:cs="Times New Roman"/>
          <w:sz w:val="22"/>
          <w:szCs w:val="22"/>
          <w:lang w:val="ru-RU"/>
        </w:rPr>
        <w:t xml:space="preserve"> в подпунктах 1) и 2) пункта 42 слово "зарегистрированную" заменить словом "подверженность";</w:t>
      </w:r>
    </w:p>
    <w:p w14:paraId="5396FF20"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1.7.</w:t>
      </w:r>
      <w:r w:rsidRPr="00062BDA">
        <w:rPr>
          <w:rFonts w:ascii="Times New Roman" w:hAnsi="Times New Roman" w:cs="Times New Roman"/>
          <w:sz w:val="22"/>
          <w:szCs w:val="22"/>
          <w:lang w:val="ru-RU"/>
        </w:rPr>
        <w:t xml:space="preserve"> в регламенте на русском языке текст остается без изменений;</w:t>
      </w:r>
    </w:p>
    <w:p w14:paraId="62C64C95"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1.8.</w:t>
      </w:r>
      <w:r w:rsidRPr="00062BDA">
        <w:rPr>
          <w:rFonts w:ascii="Times New Roman" w:hAnsi="Times New Roman" w:cs="Times New Roman"/>
          <w:sz w:val="22"/>
          <w:szCs w:val="22"/>
          <w:lang w:val="ru-RU"/>
        </w:rPr>
        <w:t xml:space="preserve"> дополнить приложением № 1</w:t>
      </w:r>
      <w:r w:rsidRPr="00062BDA">
        <w:rPr>
          <w:rFonts w:ascii="Times New Roman" w:hAnsi="Times New Roman" w:cs="Times New Roman"/>
          <w:sz w:val="22"/>
          <w:szCs w:val="22"/>
          <w:vertAlign w:val="superscript"/>
          <w:lang w:val="ru-RU"/>
        </w:rPr>
        <w:t>1</w:t>
      </w:r>
      <w:r w:rsidRPr="00062BDA">
        <w:rPr>
          <w:rFonts w:ascii="Times New Roman" w:hAnsi="Times New Roman" w:cs="Times New Roman"/>
          <w:sz w:val="22"/>
          <w:szCs w:val="22"/>
          <w:lang w:val="ru-RU"/>
        </w:rPr>
        <w:t xml:space="preserve"> следующего содержания:</w:t>
      </w:r>
    </w:p>
    <w:p w14:paraId="0896D927"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37069625"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2794087C"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7194FC3A"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562E2740"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6C74E7C9" w14:textId="7B9D21FF" w:rsidR="008B731E" w:rsidRPr="00062BDA" w:rsidRDefault="008B731E" w:rsidP="008B731E">
      <w:pPr>
        <w:spacing w:after="0" w:line="240" w:lineRule="auto"/>
        <w:jc w:val="right"/>
        <w:rPr>
          <w:rFonts w:ascii="Times New Roman" w:hAnsi="Times New Roman" w:cs="Times New Roman"/>
          <w:sz w:val="22"/>
          <w:szCs w:val="22"/>
          <w:lang w:val="ru-RU"/>
        </w:rPr>
      </w:pPr>
      <w:r w:rsidRPr="00062BDA">
        <w:rPr>
          <w:rFonts w:ascii="Times New Roman" w:hAnsi="Times New Roman" w:cs="Times New Roman"/>
          <w:sz w:val="22"/>
          <w:szCs w:val="22"/>
          <w:lang w:val="ru-RU"/>
        </w:rPr>
        <w:t>"Приложение № 1</w:t>
      </w:r>
      <w:r w:rsidRPr="00062BDA">
        <w:rPr>
          <w:rFonts w:ascii="Times New Roman" w:hAnsi="Times New Roman" w:cs="Times New Roman"/>
          <w:sz w:val="22"/>
          <w:szCs w:val="22"/>
          <w:vertAlign w:val="superscript"/>
          <w:lang w:val="ru-RU"/>
        </w:rPr>
        <w:t>1</w:t>
      </w:r>
    </w:p>
    <w:p w14:paraId="5BED0D4B" w14:textId="77777777" w:rsidR="008B731E" w:rsidRPr="00062BDA" w:rsidRDefault="008B731E" w:rsidP="008B731E">
      <w:pPr>
        <w:spacing w:after="0" w:line="240" w:lineRule="auto"/>
        <w:jc w:val="right"/>
        <w:rPr>
          <w:rFonts w:ascii="Times New Roman" w:hAnsi="Times New Roman" w:cs="Times New Roman"/>
          <w:sz w:val="22"/>
          <w:szCs w:val="22"/>
          <w:lang w:val="ru-RU"/>
        </w:rPr>
      </w:pPr>
      <w:r w:rsidRPr="00062BDA">
        <w:rPr>
          <w:rFonts w:ascii="Times New Roman" w:hAnsi="Times New Roman" w:cs="Times New Roman"/>
          <w:sz w:val="22"/>
          <w:szCs w:val="22"/>
          <w:lang w:val="ru-RU"/>
        </w:rPr>
        <w:t>к Регламенту о крупных подверженностях</w:t>
      </w:r>
    </w:p>
    <w:p w14:paraId="3023D914" w14:textId="77777777" w:rsidR="008B731E" w:rsidRPr="00062BDA" w:rsidRDefault="008B731E" w:rsidP="008B731E">
      <w:pPr>
        <w:spacing w:after="0" w:line="240" w:lineRule="auto"/>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w:t>
      </w:r>
    </w:p>
    <w:p w14:paraId="6A4B9E25"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Методология определения величины косвенных подверженностей</w:t>
      </w:r>
    </w:p>
    <w:p w14:paraId="71FECF06"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перед клиентом, возникающей из производных и кредитных производных</w:t>
      </w:r>
    </w:p>
    <w:p w14:paraId="5759145C"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договоров, когда договоры не заключаются напрямую с этим клиентом, но</w:t>
      </w:r>
    </w:p>
    <w:p w14:paraId="0F6EFEF1"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базовый долговой или долевой инструмент был выпущен этим клиентом</w:t>
      </w:r>
    </w:p>
    <w:p w14:paraId="30371E25" w14:textId="77777777" w:rsidR="008B731E" w:rsidRPr="00062BDA" w:rsidRDefault="008B731E" w:rsidP="008B731E">
      <w:pPr>
        <w:spacing w:after="0" w:line="240" w:lineRule="auto"/>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w:t>
      </w:r>
    </w:p>
    <w:p w14:paraId="4D8C4CEE"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Часть 1</w:t>
      </w:r>
    </w:p>
    <w:p w14:paraId="1A7017FC"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Распределение косвенных подверженностей</w:t>
      </w:r>
    </w:p>
    <w:p w14:paraId="5954EA00"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по категориям производных договоров</w:t>
      </w:r>
    </w:p>
    <w:p w14:paraId="29A1D878"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w:t>
      </w:r>
      <w:r w:rsidRPr="00062BDA">
        <w:rPr>
          <w:rFonts w:ascii="Times New Roman" w:hAnsi="Times New Roman" w:cs="Times New Roman"/>
          <w:sz w:val="22"/>
          <w:szCs w:val="22"/>
          <w:lang w:val="ru-RU"/>
        </w:rPr>
        <w:t xml:space="preserve"> Банки распределяют косвенные подверженности, указанные в пункте 14</w:t>
      </w:r>
      <w:r w:rsidRPr="00062BDA">
        <w:rPr>
          <w:rFonts w:ascii="Times New Roman" w:hAnsi="Times New Roman" w:cs="Times New Roman"/>
          <w:sz w:val="22"/>
          <w:szCs w:val="22"/>
          <w:vertAlign w:val="superscript"/>
          <w:lang w:val="ru-RU"/>
        </w:rPr>
        <w:t>2</w:t>
      </w:r>
      <w:r w:rsidRPr="00062BDA">
        <w:rPr>
          <w:rFonts w:ascii="Times New Roman" w:hAnsi="Times New Roman" w:cs="Times New Roman"/>
          <w:sz w:val="22"/>
          <w:szCs w:val="22"/>
          <w:lang w:val="ru-RU"/>
        </w:rPr>
        <w:t xml:space="preserve"> Регламента о крупных подверженностях, к одной из следующих категорий производных договоров:</w:t>
      </w:r>
    </w:p>
    <w:p w14:paraId="40FA3E99"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1.1. опционы на долговые и долевые инструменты;</w:t>
      </w:r>
    </w:p>
    <w:p w14:paraId="5B40469A"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1.2. кредитные производные договора;</w:t>
      </w:r>
    </w:p>
    <w:p w14:paraId="4BE165AD"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1.3. все другие производные договора, перечисленные в приложении № 1 к Регламенту № 114/2018, в основе которых лежит долговой или долевой инструмент и которые не включены в категории, указанные в подпунктах 1.1. и 1.2.</w:t>
      </w:r>
    </w:p>
    <w:p w14:paraId="21066E9F" w14:textId="43A4A694" w:rsidR="008B731E" w:rsidRPr="00062BDA" w:rsidRDefault="008B731E" w:rsidP="008B731E">
      <w:pPr>
        <w:spacing w:after="0" w:line="240" w:lineRule="auto"/>
        <w:jc w:val="center"/>
        <w:rPr>
          <w:rFonts w:ascii="Times New Roman" w:hAnsi="Times New Roman" w:cs="Times New Roman"/>
          <w:sz w:val="22"/>
          <w:szCs w:val="22"/>
          <w:lang w:val="ru-RU"/>
        </w:rPr>
      </w:pPr>
    </w:p>
    <w:p w14:paraId="0ECE9C43"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Часть 2</w:t>
      </w:r>
    </w:p>
    <w:p w14:paraId="274D694B"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Расчет косвенной подверженности для опционов</w:t>
      </w:r>
    </w:p>
    <w:p w14:paraId="5FCD2980"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на долговые и долевые инструменты</w:t>
      </w:r>
    </w:p>
    <w:p w14:paraId="5CBE09BC"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2.</w:t>
      </w:r>
      <w:r w:rsidRPr="00062BDA">
        <w:rPr>
          <w:rFonts w:ascii="Times New Roman" w:hAnsi="Times New Roman" w:cs="Times New Roman"/>
          <w:sz w:val="22"/>
          <w:szCs w:val="22"/>
          <w:lang w:val="ru-RU"/>
        </w:rPr>
        <w:t xml:space="preserve"> В соответствии с пунктами 3-5 банки рассчитывают стоимость косвенной подверженности по опционам на долговые инструменты и инструменты капитала как сумму текущей рыночной стоимости опциона и суммы, причитающейся контрагенту по опциону в результате потенциального дефолта эмитента базового инструмента, за вычетом суммы, причитающейся учреждению этим контрагентом в этом случае.</w:t>
      </w:r>
    </w:p>
    <w:p w14:paraId="01886344"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3.</w:t>
      </w:r>
      <w:r w:rsidRPr="00062BDA">
        <w:rPr>
          <w:rFonts w:ascii="Times New Roman" w:hAnsi="Times New Roman" w:cs="Times New Roman"/>
          <w:sz w:val="22"/>
          <w:szCs w:val="22"/>
          <w:lang w:val="ru-RU"/>
        </w:rPr>
        <w:t xml:space="preserve"> В случае колл-опционов косвенная подверженность равна рыночной стоимости опциона. В случае длинной позиции по колл-опциону косвенная подверженность положительная, а в случае короткой позиции – отрицательная.</w:t>
      </w:r>
    </w:p>
    <w:p w14:paraId="6854E5BE"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4.</w:t>
      </w:r>
      <w:r w:rsidRPr="00062BDA">
        <w:rPr>
          <w:rFonts w:ascii="Times New Roman" w:hAnsi="Times New Roman" w:cs="Times New Roman"/>
          <w:sz w:val="22"/>
          <w:szCs w:val="22"/>
          <w:lang w:val="ru-RU"/>
        </w:rPr>
        <w:t xml:space="preserve"> В случае опционов пут косвенная подверженность равна разнице между рыночной стоимостью опциона и ценой его исполнения. В случае короткой позиции по опциону пут косвенная подверженность положительная, а в случае длинной позиции – отрицательная.</w:t>
      </w:r>
    </w:p>
    <w:p w14:paraId="1BFE9327"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5.</w:t>
      </w:r>
      <w:r w:rsidRPr="00062BDA">
        <w:rPr>
          <w:rFonts w:ascii="Times New Roman" w:hAnsi="Times New Roman" w:cs="Times New Roman"/>
          <w:sz w:val="22"/>
          <w:szCs w:val="22"/>
          <w:lang w:val="ru-RU"/>
        </w:rPr>
        <w:t xml:space="preserve"> В отступление от пункта 4, для опционов пут, цена исполнения которых доступна не на дату заключения сделки, а на более позднюю дату, банки используют ожидаемую смоделированную цену исполнения, используемую для расчета справедливой стоимости опциона.</w:t>
      </w:r>
    </w:p>
    <w:p w14:paraId="105FF80B"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6.</w:t>
      </w:r>
      <w:r w:rsidRPr="00062BDA">
        <w:rPr>
          <w:rFonts w:ascii="Times New Roman" w:hAnsi="Times New Roman" w:cs="Times New Roman"/>
          <w:sz w:val="22"/>
          <w:szCs w:val="22"/>
          <w:lang w:val="ru-RU"/>
        </w:rPr>
        <w:t xml:space="preserve"> Если рыночная стоимость опциона недоступна на определенную дату, банки используют его справедливую стоимость на эту дату. Если ни рыночная, ни справедливая стоимость опциона недоступны на определенную дату, банки используют самую последнюю из рыночной или справедливой стоимости.</w:t>
      </w:r>
    </w:p>
    <w:p w14:paraId="4CBB6C4D" w14:textId="77777777" w:rsidR="008B731E" w:rsidRPr="00062BDA" w:rsidRDefault="008B731E" w:rsidP="008B731E">
      <w:pPr>
        <w:spacing w:after="0" w:line="240" w:lineRule="auto"/>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w:t>
      </w:r>
    </w:p>
    <w:p w14:paraId="4D36A98D"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Часть 3</w:t>
      </w:r>
    </w:p>
    <w:p w14:paraId="45136F6C"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Расчет стоимости косвенной подверженности</w:t>
      </w:r>
    </w:p>
    <w:p w14:paraId="15A65CFA"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в кредитных деривативных договорах</w:t>
      </w:r>
    </w:p>
    <w:p w14:paraId="2A499506"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7.</w:t>
      </w:r>
      <w:r w:rsidRPr="00062BDA">
        <w:rPr>
          <w:rFonts w:ascii="Times New Roman" w:hAnsi="Times New Roman" w:cs="Times New Roman"/>
          <w:sz w:val="22"/>
          <w:szCs w:val="22"/>
          <w:lang w:val="ru-RU"/>
        </w:rPr>
        <w:t xml:space="preserve"> Стоимость косвенной подверженности перед клиентом, возникающая из кредитного деривативного договора равна сумме текущей рыночной стоимости кредитного деривативного договора и суммы, причитающейся контрагенту по этому контракту в результате потенциального дефолта эмитента базового инструмента, за вычетом суммы, причитающейся учреждению этим контрагентом в этом случае.</w:t>
      </w:r>
    </w:p>
    <w:p w14:paraId="63E6D57A"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8.</w:t>
      </w:r>
      <w:r w:rsidRPr="00062BDA">
        <w:rPr>
          <w:rFonts w:ascii="Times New Roman" w:hAnsi="Times New Roman" w:cs="Times New Roman"/>
          <w:sz w:val="22"/>
          <w:szCs w:val="22"/>
          <w:lang w:val="ru-RU"/>
        </w:rPr>
        <w:t xml:space="preserve"> Если рыночная стоимость кредитного дериватива недоступна на определенную дату, банки используют его справедливую стоимость на эту дату. Если ни рыночная, ни справедливая стоимость кредитного производного договора недоступны на определенную дату, банки используют самую последнюю из рыночной или справедливой стоимости.</w:t>
      </w:r>
    </w:p>
    <w:p w14:paraId="2998A268" w14:textId="77777777" w:rsidR="008B731E" w:rsidRPr="00062BDA" w:rsidRDefault="008B731E" w:rsidP="008B731E">
      <w:pPr>
        <w:spacing w:after="0" w:line="240" w:lineRule="auto"/>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w:t>
      </w:r>
    </w:p>
    <w:p w14:paraId="2FFAFEA0"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6ADAC622" w14:textId="77777777" w:rsidR="008B731E" w:rsidRPr="00062BDA" w:rsidRDefault="008B731E" w:rsidP="008B731E">
      <w:pPr>
        <w:spacing w:after="0" w:line="240" w:lineRule="auto"/>
        <w:jc w:val="both"/>
        <w:rPr>
          <w:rFonts w:ascii="Times New Roman" w:hAnsi="Times New Roman" w:cs="Times New Roman"/>
          <w:sz w:val="22"/>
          <w:szCs w:val="22"/>
          <w:lang w:val="ru-RU"/>
        </w:rPr>
      </w:pPr>
    </w:p>
    <w:p w14:paraId="5F9B37A3"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lastRenderedPageBreak/>
        <w:t>Часть 4</w:t>
      </w:r>
    </w:p>
    <w:p w14:paraId="60B24978"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Расчет стоимости косвенной подверженности для других производных</w:t>
      </w:r>
    </w:p>
    <w:p w14:paraId="32B977F5"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договоров, перечисленных в приложении № 1 к Регламенту № 114/2018</w:t>
      </w:r>
    </w:p>
    <w:p w14:paraId="103BB30B"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9.</w:t>
      </w:r>
      <w:r w:rsidRPr="00062BDA">
        <w:rPr>
          <w:rFonts w:ascii="Times New Roman" w:hAnsi="Times New Roman" w:cs="Times New Roman"/>
          <w:sz w:val="22"/>
          <w:szCs w:val="22"/>
          <w:lang w:val="ru-RU"/>
        </w:rPr>
        <w:t xml:space="preserve"> При расчете косвенной подверженности перед клиентом, возникающей в результате любого из других производных договоров, упомянутых в подпункте 1.3, включая свопы, фьючерсы или форварды, банки разбивают множественную часть сделки на отдельные части сделки.</w:t>
      </w:r>
    </w:p>
    <w:p w14:paraId="5D5079F2"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10.</w:t>
      </w:r>
      <w:r w:rsidRPr="00062BDA">
        <w:rPr>
          <w:rFonts w:ascii="Times New Roman" w:hAnsi="Times New Roman" w:cs="Times New Roman"/>
          <w:sz w:val="22"/>
          <w:szCs w:val="22"/>
          <w:lang w:val="ru-RU"/>
        </w:rPr>
        <w:t xml:space="preserve"> Для частей сделки, указанных в пункте 9, которые приводят к риску дефолта эмитента базового инструмента, банки рассчитывают стоимость косвенной подверженности, как если бы они были позициями в этих частях.</w:t>
      </w:r>
    </w:p>
    <w:p w14:paraId="736327A8"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11.</w:t>
      </w:r>
      <w:r w:rsidRPr="00062BDA">
        <w:rPr>
          <w:rFonts w:ascii="Times New Roman" w:hAnsi="Times New Roman" w:cs="Times New Roman"/>
          <w:sz w:val="22"/>
          <w:szCs w:val="22"/>
          <w:lang w:val="ru-RU"/>
        </w:rPr>
        <w:t xml:space="preserve"> Если банк не может применить подход, предусмотренный в пунктах 9 и 10, он определяет стоимость косвенной подверженности перед эмитентом базовых инструментов как максимальный убыток, который он понесет в случае потенциального дефолта этого эмитента базовых инструментов, к которым относится производный договор.</w:t>
      </w:r>
    </w:p>
    <w:p w14:paraId="3DF543B4" w14:textId="77777777" w:rsidR="008B731E" w:rsidRPr="00062BDA" w:rsidRDefault="008B731E" w:rsidP="008B731E">
      <w:pPr>
        <w:spacing w:after="0" w:line="240" w:lineRule="auto"/>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w:t>
      </w:r>
    </w:p>
    <w:p w14:paraId="05332AFC"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Часть 5</w:t>
      </w:r>
    </w:p>
    <w:p w14:paraId="1704A9D1"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Расчет стоимости косвенной подверженности, возникающей из</w:t>
      </w:r>
    </w:p>
    <w:p w14:paraId="28F3671B" w14:textId="77777777" w:rsidR="008B731E" w:rsidRPr="00062BDA" w:rsidRDefault="008B731E" w:rsidP="008B731E">
      <w:pPr>
        <w:spacing w:after="0" w:line="240" w:lineRule="auto"/>
        <w:jc w:val="center"/>
        <w:rPr>
          <w:rFonts w:ascii="Times New Roman" w:hAnsi="Times New Roman" w:cs="Times New Roman"/>
          <w:b/>
          <w:bCs/>
          <w:sz w:val="22"/>
          <w:szCs w:val="22"/>
          <w:lang w:val="ru-RU"/>
        </w:rPr>
      </w:pPr>
      <w:r w:rsidRPr="00062BDA">
        <w:rPr>
          <w:rFonts w:ascii="Times New Roman" w:hAnsi="Times New Roman" w:cs="Times New Roman"/>
          <w:b/>
          <w:bCs/>
          <w:i/>
          <w:iCs/>
          <w:sz w:val="22"/>
          <w:szCs w:val="22"/>
          <w:lang w:val="ru-RU"/>
        </w:rPr>
        <w:t>производных договоров с несколькими базовыми инструментами</w:t>
      </w:r>
    </w:p>
    <w:p w14:paraId="1CC748C8"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12.</w:t>
      </w:r>
      <w:r w:rsidRPr="00062BDA">
        <w:rPr>
          <w:rFonts w:ascii="Times New Roman" w:hAnsi="Times New Roman" w:cs="Times New Roman"/>
          <w:sz w:val="22"/>
          <w:szCs w:val="22"/>
          <w:lang w:val="ru-RU"/>
        </w:rPr>
        <w:t xml:space="preserve"> При расчете стоимости косвенной подверженности перед клиентом, возникающей из производного договора, базовый актив которого включен в индекс долга или акций, в индекс свопа кредитного дефолта или в коллективное инвестиционное предприятие, или из производного контракта, базовый актив которого состоит из нескольких базовых имен ссылок, банки применяют сквозной подход ко всем отдельным базовым инструментам и рассчитывают стоимость косвенной подверженности как колебание цены производного договора в случае дефолта по каждому из базовых имен ссылок. Банки относят каждую стоимость косвенной подверженности либо к идентифицированному клиенту, либо к отдельному клиенту, либо к неизвестному клиенту, как указано в пунктах 8–9 приложения № 1 к Регламенту о крупных подверженностях.</w:t>
      </w:r>
    </w:p>
    <w:p w14:paraId="243FEF8F"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13.</w:t>
      </w:r>
      <w:r w:rsidRPr="00062BDA">
        <w:rPr>
          <w:rFonts w:ascii="Times New Roman" w:hAnsi="Times New Roman" w:cs="Times New Roman"/>
          <w:sz w:val="22"/>
          <w:szCs w:val="22"/>
          <w:lang w:val="ru-RU"/>
        </w:rPr>
        <w:t xml:space="preserve"> Если банк не может применить сквозной подход ко всем отдельным базовым инструментам производного договора, как указано в пункте 12, или если это будет неоправданно обременительно для банка, он должен:</w:t>
      </w:r>
    </w:p>
    <w:p w14:paraId="43D5FEB1"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13.1 применять сквозной подход к отдельным базовым инструментам, в отношении которых банк может это сделать или в отношении которых это не будет для банка чрезмерно обременительным, и рассчитывать сумму косвенной подверженности в соответствии с пунктом 12;</w:t>
      </w:r>
    </w:p>
    <w:p w14:paraId="0398998E"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13.2 в случае базовых инструментов, к которым банк не может применить сквозной подход или в отношении которых для банка было бы чрезмерно обременительно это сделать, банк рассчитывает стоимость косвенной подверженности путем анализа изменения цены производного договора в случае неисполнения всех соответствующих базовых наименований. В этом случае стоимость косвенной подверженности относится либо к сделке с производными финансовыми инструментами как к отдельному клиенту, либо к неизвестному клиенту, как предусмотрено в пункте 10 приложения № 1 к Регламенту о крупных подверженностях.</w:t>
      </w:r>
    </w:p>
    <w:p w14:paraId="10479A7B"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14.</w:t>
      </w:r>
      <w:r w:rsidRPr="00062BDA">
        <w:rPr>
          <w:rFonts w:ascii="Times New Roman" w:hAnsi="Times New Roman" w:cs="Times New Roman"/>
          <w:sz w:val="22"/>
          <w:szCs w:val="22"/>
          <w:lang w:val="ru-RU"/>
        </w:rPr>
        <w:t xml:space="preserve"> В отступление от пунктов 12 и 13, в случае, если стоимость косвенной подверженности должна быть отнесена к неизвестному клиенту, как указано в пунктах 9–10 приложения № 1 к Регламенту о крупных подверженностях, и если значения косвенных подверженностей являются отрицательными, банк должен установить эти значения косвенных подверженностей равными нулю, прежде чем учитывать их для подверженностей перед неизвестным клиентом.".</w:t>
      </w:r>
    </w:p>
    <w:p w14:paraId="25FE1583" w14:textId="77777777" w:rsidR="008B731E" w:rsidRPr="00062BDA" w:rsidRDefault="008B731E" w:rsidP="008B731E">
      <w:pPr>
        <w:spacing w:after="0" w:line="240" w:lineRule="auto"/>
        <w:jc w:val="both"/>
        <w:rPr>
          <w:rFonts w:ascii="Times New Roman" w:hAnsi="Times New Roman" w:cs="Times New Roman"/>
          <w:sz w:val="22"/>
          <w:szCs w:val="22"/>
          <w:lang w:val="ru-RU"/>
        </w:rPr>
      </w:pPr>
      <w:r w:rsidRPr="00062BDA">
        <w:rPr>
          <w:rFonts w:ascii="Times New Roman" w:hAnsi="Times New Roman" w:cs="Times New Roman"/>
          <w:sz w:val="22"/>
          <w:szCs w:val="22"/>
          <w:lang w:val="ru-RU"/>
        </w:rPr>
        <w:t> </w:t>
      </w:r>
    </w:p>
    <w:p w14:paraId="1F8BF83E" w14:textId="77777777" w:rsidR="008B731E" w:rsidRPr="00062BDA" w:rsidRDefault="008B731E" w:rsidP="008B731E">
      <w:pPr>
        <w:spacing w:after="0" w:line="240" w:lineRule="auto"/>
        <w:ind w:firstLine="567"/>
        <w:jc w:val="both"/>
        <w:rPr>
          <w:rFonts w:ascii="Times New Roman" w:hAnsi="Times New Roman" w:cs="Times New Roman"/>
          <w:sz w:val="22"/>
          <w:szCs w:val="22"/>
          <w:lang w:val="ru-RU"/>
        </w:rPr>
      </w:pPr>
      <w:r w:rsidRPr="00062BDA">
        <w:rPr>
          <w:rFonts w:ascii="Times New Roman" w:hAnsi="Times New Roman" w:cs="Times New Roman"/>
          <w:b/>
          <w:bCs/>
          <w:sz w:val="22"/>
          <w:szCs w:val="22"/>
          <w:lang w:val="ru-RU"/>
        </w:rPr>
        <w:t>2.</w:t>
      </w:r>
      <w:r w:rsidRPr="00062BDA">
        <w:rPr>
          <w:rFonts w:ascii="Times New Roman" w:hAnsi="Times New Roman" w:cs="Times New Roman"/>
          <w:sz w:val="22"/>
          <w:szCs w:val="22"/>
          <w:lang w:val="ru-RU"/>
        </w:rPr>
        <w:t xml:space="preserve"> Настоящее постановление вступает в силу по истечении 3 месяцев со дня его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491"/>
        <w:gridCol w:w="1960"/>
      </w:tblGrid>
      <w:tr w:rsidR="008B731E" w:rsidRPr="00062BDA" w14:paraId="47CE67D0" w14:textId="77777777">
        <w:tc>
          <w:tcPr>
            <w:tcW w:w="0" w:type="auto"/>
            <w:tcBorders>
              <w:top w:val="nil"/>
              <w:left w:val="nil"/>
              <w:bottom w:val="nil"/>
              <w:right w:val="nil"/>
            </w:tcBorders>
            <w:tcMar>
              <w:top w:w="24" w:type="dxa"/>
              <w:left w:w="48" w:type="dxa"/>
              <w:bottom w:w="24" w:type="dxa"/>
              <w:right w:w="1680" w:type="dxa"/>
            </w:tcMar>
            <w:hideMark/>
          </w:tcPr>
          <w:p w14:paraId="3A505057" w14:textId="77777777" w:rsidR="008B731E" w:rsidRPr="00062BDA" w:rsidRDefault="008B731E" w:rsidP="008B731E">
            <w:pPr>
              <w:spacing w:after="0" w:line="240" w:lineRule="auto"/>
              <w:jc w:val="both"/>
              <w:rPr>
                <w:rFonts w:ascii="Times New Roman" w:hAnsi="Times New Roman" w:cs="Times New Roman"/>
                <w:b/>
                <w:bCs/>
                <w:sz w:val="22"/>
                <w:szCs w:val="22"/>
                <w:lang w:val="ru-RU"/>
              </w:rPr>
            </w:pPr>
          </w:p>
          <w:p w14:paraId="57BF1819" w14:textId="72582354" w:rsidR="008B731E" w:rsidRPr="00062BDA" w:rsidRDefault="008B731E" w:rsidP="008B731E">
            <w:pPr>
              <w:spacing w:after="0" w:line="240" w:lineRule="auto"/>
              <w:jc w:val="both"/>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ПРЕДСЕДАТЕЛЬ</w:t>
            </w:r>
          </w:p>
        </w:tc>
        <w:tc>
          <w:tcPr>
            <w:tcW w:w="0" w:type="auto"/>
            <w:tcBorders>
              <w:top w:val="nil"/>
              <w:left w:val="nil"/>
              <w:bottom w:val="nil"/>
              <w:right w:val="nil"/>
            </w:tcBorders>
            <w:tcMar>
              <w:top w:w="24" w:type="dxa"/>
              <w:left w:w="48" w:type="dxa"/>
              <w:bottom w:w="24" w:type="dxa"/>
              <w:right w:w="48" w:type="dxa"/>
            </w:tcMar>
            <w:hideMark/>
          </w:tcPr>
          <w:p w14:paraId="590C4C0D" w14:textId="77777777" w:rsidR="008B731E" w:rsidRPr="00062BDA" w:rsidRDefault="008B731E" w:rsidP="008B731E">
            <w:pPr>
              <w:spacing w:after="0" w:line="240" w:lineRule="auto"/>
              <w:jc w:val="both"/>
              <w:rPr>
                <w:rFonts w:ascii="Times New Roman" w:hAnsi="Times New Roman" w:cs="Times New Roman"/>
                <w:b/>
                <w:bCs/>
                <w:sz w:val="22"/>
                <w:szCs w:val="22"/>
                <w:lang w:val="ru-RU"/>
              </w:rPr>
            </w:pPr>
          </w:p>
        </w:tc>
      </w:tr>
      <w:tr w:rsidR="008B731E" w:rsidRPr="00062BDA" w14:paraId="4C9AA462" w14:textId="77777777">
        <w:tc>
          <w:tcPr>
            <w:tcW w:w="0" w:type="auto"/>
            <w:tcBorders>
              <w:top w:val="nil"/>
              <w:left w:val="nil"/>
              <w:bottom w:val="nil"/>
              <w:right w:val="nil"/>
            </w:tcBorders>
            <w:tcMar>
              <w:top w:w="24" w:type="dxa"/>
              <w:left w:w="48" w:type="dxa"/>
              <w:bottom w:w="24" w:type="dxa"/>
              <w:right w:w="1680" w:type="dxa"/>
            </w:tcMar>
            <w:hideMark/>
          </w:tcPr>
          <w:p w14:paraId="54716F47" w14:textId="77777777" w:rsidR="008B731E" w:rsidRPr="00062BDA" w:rsidRDefault="008B731E" w:rsidP="008B731E">
            <w:pPr>
              <w:spacing w:after="0" w:line="240" w:lineRule="auto"/>
              <w:jc w:val="both"/>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1EC6D308" w14:textId="77777777" w:rsidR="008B731E" w:rsidRPr="00062BDA" w:rsidRDefault="008B731E" w:rsidP="008B731E">
            <w:pPr>
              <w:spacing w:after="0" w:line="240" w:lineRule="auto"/>
              <w:jc w:val="both"/>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Анка-Дана ДРАГУ</w:t>
            </w:r>
          </w:p>
        </w:tc>
      </w:tr>
      <w:tr w:rsidR="008B731E" w:rsidRPr="00062BDA" w14:paraId="3A1DE541" w14:textId="77777777">
        <w:tc>
          <w:tcPr>
            <w:tcW w:w="0" w:type="auto"/>
            <w:gridSpan w:val="2"/>
            <w:tcBorders>
              <w:top w:val="nil"/>
              <w:left w:val="nil"/>
              <w:bottom w:val="nil"/>
              <w:right w:val="nil"/>
            </w:tcBorders>
            <w:tcMar>
              <w:top w:w="120" w:type="dxa"/>
              <w:left w:w="48" w:type="dxa"/>
              <w:bottom w:w="24" w:type="dxa"/>
              <w:right w:w="48" w:type="dxa"/>
            </w:tcMar>
            <w:hideMark/>
          </w:tcPr>
          <w:p w14:paraId="63A13292" w14:textId="77777777" w:rsidR="008B731E" w:rsidRPr="00062BDA" w:rsidRDefault="008B731E" w:rsidP="008B731E">
            <w:pPr>
              <w:spacing w:after="0" w:line="240" w:lineRule="auto"/>
              <w:jc w:val="both"/>
              <w:rPr>
                <w:rFonts w:ascii="Times New Roman" w:hAnsi="Times New Roman" w:cs="Times New Roman"/>
                <w:b/>
                <w:bCs/>
                <w:sz w:val="22"/>
                <w:szCs w:val="22"/>
                <w:lang w:val="ru-RU"/>
              </w:rPr>
            </w:pPr>
            <w:r w:rsidRPr="00062BDA">
              <w:rPr>
                <w:rFonts w:ascii="Times New Roman" w:hAnsi="Times New Roman" w:cs="Times New Roman"/>
                <w:b/>
                <w:bCs/>
                <w:sz w:val="22"/>
                <w:szCs w:val="22"/>
                <w:lang w:val="ru-RU"/>
              </w:rPr>
              <w:t xml:space="preserve">№ 177. </w:t>
            </w:r>
            <w:proofErr w:type="spellStart"/>
            <w:r w:rsidRPr="00062BDA">
              <w:rPr>
                <w:rFonts w:ascii="Times New Roman" w:hAnsi="Times New Roman" w:cs="Times New Roman"/>
                <w:b/>
                <w:bCs/>
                <w:sz w:val="22"/>
                <w:szCs w:val="22"/>
                <w:lang w:val="ru-RU"/>
              </w:rPr>
              <w:t>Кишинэу</w:t>
            </w:r>
            <w:proofErr w:type="spellEnd"/>
            <w:r w:rsidRPr="00062BDA">
              <w:rPr>
                <w:rFonts w:ascii="Times New Roman" w:hAnsi="Times New Roman" w:cs="Times New Roman"/>
                <w:b/>
                <w:bCs/>
                <w:sz w:val="22"/>
                <w:szCs w:val="22"/>
                <w:lang w:val="ru-RU"/>
              </w:rPr>
              <w:t>, 31 июля 2025 г.</w:t>
            </w:r>
          </w:p>
        </w:tc>
      </w:tr>
    </w:tbl>
    <w:p w14:paraId="43821A20" w14:textId="77777777" w:rsidR="00241BED" w:rsidRPr="00062BDA" w:rsidRDefault="00241BED" w:rsidP="008B731E">
      <w:pPr>
        <w:spacing w:after="0" w:line="240" w:lineRule="auto"/>
        <w:jc w:val="both"/>
        <w:rPr>
          <w:rFonts w:ascii="Times New Roman" w:hAnsi="Times New Roman" w:cs="Times New Roman"/>
          <w:sz w:val="22"/>
          <w:szCs w:val="22"/>
          <w:lang w:val="ru-RU"/>
        </w:rPr>
      </w:pPr>
    </w:p>
    <w:sectPr w:rsidR="00241BED" w:rsidRPr="00062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1E"/>
    <w:rsid w:val="00062BDA"/>
    <w:rsid w:val="00241BED"/>
    <w:rsid w:val="007E4C76"/>
    <w:rsid w:val="008B731E"/>
    <w:rsid w:val="00CE2EE6"/>
    <w:rsid w:val="00E2365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FB06"/>
  <w15:chartTrackingRefBased/>
  <w15:docId w15:val="{490B2DB9-E68A-43CC-9B34-367C8D3F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31E"/>
    <w:rPr>
      <w:rFonts w:eastAsiaTheme="majorEastAsia" w:cstheme="majorBidi"/>
      <w:color w:val="272727" w:themeColor="text1" w:themeTint="D8"/>
    </w:rPr>
  </w:style>
  <w:style w:type="paragraph" w:styleId="Title">
    <w:name w:val="Title"/>
    <w:basedOn w:val="Normal"/>
    <w:next w:val="Normal"/>
    <w:link w:val="TitleChar"/>
    <w:uiPriority w:val="10"/>
    <w:qFormat/>
    <w:rsid w:val="008B7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31E"/>
    <w:pPr>
      <w:spacing w:before="160"/>
      <w:jc w:val="center"/>
    </w:pPr>
    <w:rPr>
      <w:i/>
      <w:iCs/>
      <w:color w:val="404040" w:themeColor="text1" w:themeTint="BF"/>
    </w:rPr>
  </w:style>
  <w:style w:type="character" w:customStyle="1" w:styleId="QuoteChar">
    <w:name w:val="Quote Char"/>
    <w:basedOn w:val="DefaultParagraphFont"/>
    <w:link w:val="Quote"/>
    <w:uiPriority w:val="29"/>
    <w:rsid w:val="008B731E"/>
    <w:rPr>
      <w:i/>
      <w:iCs/>
      <w:color w:val="404040" w:themeColor="text1" w:themeTint="BF"/>
    </w:rPr>
  </w:style>
  <w:style w:type="paragraph" w:styleId="ListParagraph">
    <w:name w:val="List Paragraph"/>
    <w:basedOn w:val="Normal"/>
    <w:uiPriority w:val="34"/>
    <w:qFormat/>
    <w:rsid w:val="008B731E"/>
    <w:pPr>
      <w:ind w:left="720"/>
      <w:contextualSpacing/>
    </w:pPr>
  </w:style>
  <w:style w:type="character" w:styleId="IntenseEmphasis">
    <w:name w:val="Intense Emphasis"/>
    <w:basedOn w:val="DefaultParagraphFont"/>
    <w:uiPriority w:val="21"/>
    <w:qFormat/>
    <w:rsid w:val="008B731E"/>
    <w:rPr>
      <w:i/>
      <w:iCs/>
      <w:color w:val="0F4761" w:themeColor="accent1" w:themeShade="BF"/>
    </w:rPr>
  </w:style>
  <w:style w:type="paragraph" w:styleId="IntenseQuote">
    <w:name w:val="Intense Quote"/>
    <w:basedOn w:val="Normal"/>
    <w:next w:val="Normal"/>
    <w:link w:val="IntenseQuoteChar"/>
    <w:uiPriority w:val="30"/>
    <w:qFormat/>
    <w:rsid w:val="008B7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31E"/>
    <w:rPr>
      <w:i/>
      <w:iCs/>
      <w:color w:val="0F4761" w:themeColor="accent1" w:themeShade="BF"/>
    </w:rPr>
  </w:style>
  <w:style w:type="character" w:styleId="IntenseReference">
    <w:name w:val="Intense Reference"/>
    <w:basedOn w:val="DefaultParagraphFont"/>
    <w:uiPriority w:val="32"/>
    <w:qFormat/>
    <w:rsid w:val="008B7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97F0-550A-4C0D-A915-A9B8A163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1438</Words>
  <Characters>8343</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2025-08-13T13:00:00Z</dcterms:created>
  <dcterms:modified xsi:type="dcterms:W3CDTF">2025-08-13T13:20:00Z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2025-08-13T13:07:41Z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b5ed36d9-55d7-4870-9cc5-6deb87a3fa27</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