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3551" w14:textId="77777777" w:rsidR="00CD7CF9" w:rsidRPr="00CD7CF9" w:rsidRDefault="00CD7CF9" w:rsidP="00CD7CF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CD7CF9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BANCA NAȚIONALĂ A MOLDOVEI</w:t>
      </w:r>
    </w:p>
    <w:p w14:paraId="54D5544B" w14:textId="77777777" w:rsidR="00CD7CF9" w:rsidRPr="00CD7CF9" w:rsidRDefault="00CD7CF9" w:rsidP="00CD7CF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CD7CF9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COMITETUL EXECUTIV</w:t>
      </w:r>
    </w:p>
    <w:p w14:paraId="170FA25B" w14:textId="77777777" w:rsidR="00CD7CF9" w:rsidRPr="00CD7CF9" w:rsidRDefault="00CD7CF9" w:rsidP="00CD7CF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</w:p>
    <w:p w14:paraId="4DD4401E" w14:textId="1A660A4D" w:rsidR="00CD7CF9" w:rsidRPr="00CD7CF9" w:rsidRDefault="00CD7CF9" w:rsidP="00CD7CF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CD7CF9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HOTĂRÂREA nr. 21</w:t>
      </w:r>
      <w:r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9</w:t>
      </w:r>
    </w:p>
    <w:p w14:paraId="62ACAE8A" w14:textId="77777777" w:rsidR="00CD7CF9" w:rsidRDefault="00CD7CF9" w:rsidP="00CD7CF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CD7CF9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din 25 septembrie 2025</w:t>
      </w:r>
    </w:p>
    <w:p w14:paraId="486DD99C" w14:textId="77777777" w:rsidR="00CD7CF9" w:rsidRDefault="00CD7CF9" w:rsidP="00CD7CF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</w:p>
    <w:p w14:paraId="2B8C9889" w14:textId="77EBCB0B" w:rsidR="00CD7CF9" w:rsidRPr="00CD7CF9" w:rsidRDefault="00CD7CF9" w:rsidP="00CD7CF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5B44DA">
        <w:rPr>
          <w:rFonts w:ascii="Arial" w:eastAsia="Times New Roman" w:hAnsi="Arial" w:cs="Arial"/>
          <w:i/>
          <w:iCs/>
          <w:kern w:val="0"/>
          <w:sz w:val="22"/>
          <w:szCs w:val="22"/>
          <w:lang w:eastAsia="ro-MD"/>
          <w14:ligatures w14:val="none"/>
        </w:rPr>
        <w:t>(în vigoare 02.03.2026)</w:t>
      </w:r>
    </w:p>
    <w:p w14:paraId="58A738AA" w14:textId="2F32CCDD" w:rsidR="00CD7CF9" w:rsidRPr="005B44DA" w:rsidRDefault="00CD7CF9" w:rsidP="00CD7C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Monitorul Oficial al R. Moldova nr. 515-518 art. 894</w:t>
      </w:r>
      <w:r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 xml:space="preserve"> </w:t>
      </w:r>
      <w:r w:rsidRPr="005B44DA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din</w:t>
      </w:r>
      <w:r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 xml:space="preserve"> </w:t>
      </w:r>
      <w:r w:rsidRPr="005B44DA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02.10.2025</w:t>
      </w:r>
    </w:p>
    <w:p w14:paraId="15B0D6B3" w14:textId="77777777" w:rsidR="00CD7CF9" w:rsidRPr="00CD7CF9" w:rsidRDefault="00CD7CF9" w:rsidP="00CD7CF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</w:p>
    <w:p w14:paraId="256E0200" w14:textId="110435C1" w:rsidR="005B44DA" w:rsidRPr="005B44DA" w:rsidRDefault="00CD7CF9" w:rsidP="005B44D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P</w:t>
      </w:r>
      <w:r w:rsidR="005B44DA"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entru modificarea Regulamentului privind cadrul de administrare</w:t>
      </w:r>
    </w:p>
    <w:p w14:paraId="084F8E4C" w14:textId="77777777" w:rsidR="005B44DA" w:rsidRPr="005B44DA" w:rsidRDefault="005B44DA" w:rsidP="005B44D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a </w:t>
      </w:r>
      <w:proofErr w:type="spellStart"/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activităţii</w:t>
      </w:r>
      <w:proofErr w:type="spellEnd"/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băncilor, aprobat prin Hotărârea Comitetului executiv</w:t>
      </w:r>
    </w:p>
    <w:p w14:paraId="6F12BA58" w14:textId="77777777" w:rsidR="005B44DA" w:rsidRPr="005B44DA" w:rsidRDefault="005B44DA" w:rsidP="005B44D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al Băncii </w:t>
      </w:r>
      <w:proofErr w:type="spellStart"/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Naţionale</w:t>
      </w:r>
      <w:proofErr w:type="spellEnd"/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a Moldovei nr. 322/2018</w:t>
      </w:r>
    </w:p>
    <w:p w14:paraId="3C83BFC6" w14:textId="28838466" w:rsidR="005B44DA" w:rsidRPr="005B44DA" w:rsidRDefault="005B44DA" w:rsidP="005B44D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</w:p>
    <w:p w14:paraId="791EFC81" w14:textId="77777777" w:rsidR="005B44DA" w:rsidRPr="005B44DA" w:rsidRDefault="005B44DA" w:rsidP="005B44D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* * *</w:t>
      </w:r>
    </w:p>
    <w:p w14:paraId="34C9D1A2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În temeiul art.38 alin.(3), art.39 alin.(3), art.43 alin.(3), art.44 alin.(5)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art.84 alin.(1) din Legea nr.202/2017 privind activitatea băncilor (Monitorul Oficial al Republicii Moldova, 2017, nr.434-439, art.727), Comitetul executiv al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</w:t>
      </w:r>
    </w:p>
    <w:p w14:paraId="3D7BF590" w14:textId="77777777" w:rsidR="005B44DA" w:rsidRPr="005B44DA" w:rsidRDefault="005B44DA" w:rsidP="005B44D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HOTĂRĂŞTE:</w:t>
      </w:r>
    </w:p>
    <w:p w14:paraId="57887A9D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Regulamentul privind cadrul de administrare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băncilor, aprobat prin Hotărârea Comitetului executiv al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nr.322/2018 (Monitorul Oficial al Republicii Moldova, 2019, nr.1-5, art.56), înregistrat la Ministerul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Justiţiei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Republicii Moldova la 28 decembrie 2018 cu nr.1400, se modifică după cum urmează:</w:t>
      </w:r>
    </w:p>
    <w:p w14:paraId="29D4C90E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1.1. pe tot parcursul regulamentului, cuvintele "societate de audit", la orice formă gramaticală, se substituie cu cuvintele "entitate de audit", la forma gramaticală corespunzătoare;</w:t>
      </w:r>
    </w:p>
    <w:p w14:paraId="6331E6C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1.2. punctul 4 se completează cu următoarele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noţiuni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0C6ECE63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"diversitate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-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situaţia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care caracteristicile membrilor organului de conducere, inclusiv vârsta, genul,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provenienţa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geografică,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experienţa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educaţională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profesională, diferă într-o măsură care face posibilă o varietate de opinii în cadrul organului de conducere;</w:t>
      </w:r>
    </w:p>
    <w:p w14:paraId="11F075FF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formare -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îmbunătăţirea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aptitudinilor,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cunoştinţelor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competenţelor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desfăşurate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permanent sau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adhoc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 intermediul oricărei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iniţiative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program;</w:t>
      </w:r>
    </w:p>
    <w:p w14:paraId="50EB7CCB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5B44DA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- pregătirea unei persoane pentru o anumită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 membru al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 persoană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desfăşurată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 intermediul oricărei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iniţiative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program;</w:t>
      </w:r>
    </w:p>
    <w:p w14:paraId="751F6AAF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politică de remunerare neutră din punctul de vedere al genului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- politică de remunerare bazată pe principiul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egalităţii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tratament, respectiv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remuneraţie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egală între membrii personalului de gen masculin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membrii personalului de gen feminin, pentru prestarea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aceleiaşi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munci sau a unei munci de valoare egală;</w:t>
      </w:r>
    </w:p>
    <w:p w14:paraId="514CADD7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risc de </w:t>
      </w:r>
      <w:proofErr w:type="spellStart"/>
      <w:r w:rsidRPr="005B44DA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finanţare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- riscul ca banca să nu dispună de surse stabile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finanţare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termen mediu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lung, ceea ce duce la riscul existent sau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potenţial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 banca să nu poată îndeplini sau să îndeplinească la costuri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finanţare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inacceptabile,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obligaţiile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sale financiare, pe măsură ce acestea devin scadente pe termen mediu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lung;</w:t>
      </w:r>
    </w:p>
    <w:p w14:paraId="05B5EB19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risc semnificativ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- risc cu impact însemnat asupra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situaţiei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reputaţionale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unei bănci;";</w:t>
      </w:r>
    </w:p>
    <w:p w14:paraId="2F08D75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1.3. se completează cu punctul 8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4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013982AB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8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4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Fiecare membru al organului de conducere trebuie să aloce timp suficient pentru îndeplinirea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atribuţiilor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ce îi revin. Pentru evaluarea timpului suficient alocat de membrul organului de conducere băncile vor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ţine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cel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următoarele:</w:t>
      </w:r>
    </w:p>
    <w:p w14:paraId="165682BC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numărul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deţinute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concomitent în cadrul unei bănci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unei alte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entităţi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către acel membru, cu luarea în considerare a posibilelor suprapuneri, atunci 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când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sunt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deţinute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conformitate cu art.43 alin.(13) din Legea nr.202/2017, inclusiv atunci când membrul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acţionează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numele unei persoane juridice sau ca membru supleant al unui membru titular al organului de conducere;</w:t>
      </w:r>
    </w:p>
    <w:p w14:paraId="0FE22B03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2) mărimea, natura, extinderea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complexitatea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activităţilor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entităţii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care membrul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un mandat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în mod particular, dacă entitatea este din afara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ţării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7298C05B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prezenţa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ţară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membrului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timpul de deplasare necesar pentru îndeplinirea sarcinilor membrului organului de conducere;</w:t>
      </w:r>
    </w:p>
    <w:p w14:paraId="69185655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4) numărul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şedinţe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programate pentru organul de conducere;</w:t>
      </w:r>
    </w:p>
    <w:p w14:paraId="65B4F96E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5)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deţinute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concomitent de membrul organului de conducere în cadrul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organizaţiilor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entităţilor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nu urmăresc, în mod predominant, obiective comerciale;</w:t>
      </w:r>
    </w:p>
    <w:p w14:paraId="6AD1E925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6) disponibilitatea de participare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şedinţe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neplanificate, în special, cu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autorităţi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competente sau cu alte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părţi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interesate în afara programului oficial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şedinţe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organului de conducere;</w:t>
      </w:r>
    </w:p>
    <w:p w14:paraId="11EA17C5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7) natura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care o ocupă membrul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responsabilităţile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aferente, inclusiv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atribuţii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specifice precum cea de director general sau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preşedinte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ori membru al unui comitet,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necesitatea participării acestuia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şedinţe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cadrul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entităţilor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menţionate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subpunctul 1)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cadrul băncilor;</w:t>
      </w:r>
    </w:p>
    <w:p w14:paraId="5C9EA69F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8) alte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activităţi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externe de natură profesională sau cu caracter politic,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orice alte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activităţi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relevante ale membrului organului de conducere, atât în cadrul, cât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afara sectorului financiar, atât în interiorul, cât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afara Republicii Moldova;</w:t>
      </w:r>
    </w:p>
    <w:p w14:paraId="4D6B1B98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9) timpul necesar a fi alocat pentru formare;</w:t>
      </w:r>
    </w:p>
    <w:p w14:paraId="210E7D66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10) impactul oricăror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absenţe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termen lung ale membrului;</w:t>
      </w:r>
    </w:p>
    <w:p w14:paraId="43ED6A1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11) orice alte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atribuţii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relevante ale membrului pe care banca le consideră a fi necesar să fie luate în considerare la evaluarea alocării unui timp suficient de către un membru al organului de conducere;</w:t>
      </w:r>
    </w:p>
    <w:p w14:paraId="060C3C31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12) capacitatea de a-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îndeplini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responsabilităţile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aferente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perioade cu activitate deosebit de intensă, cum ar fi în caz de reorganizare, restructurare,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achiziţie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preluare sau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situaţii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criză, ori ca urmare a unei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dificultăţi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majore legate de una sau mai multe dintre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operaţiunile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sale etc.";</w:t>
      </w:r>
    </w:p>
    <w:p w14:paraId="1E6DE7FD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1.4. la punctul 11:</w:t>
      </w:r>
    </w:p>
    <w:p w14:paraId="7969939F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1.4.1. subpunctul 5) va avea următorul cuprins:</w:t>
      </w:r>
    </w:p>
    <w:p w14:paraId="62513C3C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"5) asigurarea faptului că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control intern, pot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acţiona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mod independent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indiferent de responsabilitatea de a raporta altor organe interne, linii de raportare, pot să aducă în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discuţie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problemele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avertizeze în mod direct consiliul, dacă este cazul, atunci când există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evoluţii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adverse ale riscurilor care afectează sau pot afecta banca;";</w:t>
      </w:r>
    </w:p>
    <w:p w14:paraId="6180C53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1.4.2. la subpunctul 7) cuvântul "executiv" se substituie cu cuvintele "de conducere";</w:t>
      </w:r>
    </w:p>
    <w:p w14:paraId="241A3BF3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1.4.3. se completează cu subpunctele 9)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10) cu următorul cuprins:</w:t>
      </w:r>
    </w:p>
    <w:p w14:paraId="1D7AADE0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"9) supravegherea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monitorizarea procesului decizional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acţiunilor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organului executiv, astfel încât să asigure o supraveghere eficace a acestuia, inclusiv monitorizarea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examinarea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performanţei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sale individuale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colective;</w:t>
      </w:r>
    </w:p>
    <w:p w14:paraId="066D20A0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10) monitorizarea în mod constant a aplicării culturii băncii privind riscurile.";</w:t>
      </w:r>
    </w:p>
    <w:p w14:paraId="23896116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1.5. la punctul 30 cuvintele "comunicată în scris" se substituie cu cuvântul "notificată";</w:t>
      </w:r>
    </w:p>
    <w:p w14:paraId="685E3CFE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1.6. punctul 31 subpunctul 2) va avea următorul cuprins:</w:t>
      </w:r>
    </w:p>
    <w:p w14:paraId="0256B85D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"2) să primească rapoarte periodice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adhoc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comunicări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opinii de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şefii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control intern cu privire la profilul de risc actual al băncii, cultura privind riscul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limitele de risc ale băncii,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orice încălcări grave, inclusiv în domeniul de prevenire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combatere a spălării banilor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însoţite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detaliate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recomandări pentru măsurile de remediere, care necesită a fi luate 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sau sugerate a fi luate cu privire la acestea în vederea realizării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responsabilităţilor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atribuite;"</w:t>
      </w:r>
    </w:p>
    <w:p w14:paraId="53EB845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1.7. se completează cu punctul 34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0D405B5E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34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Membrii comitetelor specializate trebuie să participe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discuţii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deschise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critice în cadrul cărora opiniile divergente să fie discutate într-o manieră constructivă.";</w:t>
      </w:r>
    </w:p>
    <w:p w14:paraId="78FDEF40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1.8. la punctul 35 textul "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ţara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din" se substituie cu textul "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ţara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de";</w:t>
      </w:r>
    </w:p>
    <w:p w14:paraId="40D05CBE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1.9. la punctul 38 subpunctul 2) cuvântul "transmite" se substituie cu cuvântul "prezintă";</w:t>
      </w:r>
    </w:p>
    <w:p w14:paraId="1482AD7B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1.10. punctul 42 va avea următorul cuprins:</w:t>
      </w:r>
    </w:p>
    <w:p w14:paraId="744613F5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42.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Comitetul de administrare a riscurilor are cel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accesul corespunzător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importante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datele necesare pentru a-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îndeplini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atribuţiile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inclusiv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şi date primite de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control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relevante (de exemplu,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juridică, financiară, de resurse umane, tehnologii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informaţionale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), inclusiv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respectarea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cerinţelor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materie de prevenire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combatere a spălării banilor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agregate referitoare la rapoartele privind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tranzacţiile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suspecte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factorii de risc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asociaţi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spălării banilor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terorismului.";</w:t>
      </w:r>
    </w:p>
    <w:p w14:paraId="3F789AC3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1.11. se completează cu punctul 42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10D5EEF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42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Comitetul de administrare a riscurilor, după caz, trebuie să asigure implicarea corespunzătoare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control intern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altor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relevante (de resurse umane, juridică, financiară, altele, după caz) în domeniile lor specifice de expertiză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să solicite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consultanţă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specialitate externă.";</w:t>
      </w:r>
    </w:p>
    <w:p w14:paraId="7A3CBE62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1.12. punctul 43 se completează cu subpunctele 7)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8) cu următorul cuprins:</w:t>
      </w:r>
    </w:p>
    <w:p w14:paraId="0760BB3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"7) să informeze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sprijine consiliul băncii cu privire la monitorizarea apetitului la risc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implementării strategiei privind administrarea riscurilor, la care este sau ar putea fi expusă banca,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ţinând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toate tipurile de riscuri, pentru a asigura conformitatea acestora cu strategia de afaceri, obiectivele, cultura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valorile corporative ale băncii;</w:t>
      </w:r>
    </w:p>
    <w:p w14:paraId="24FA6846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8) să asiste consiliul băncii în monitorizarea procesului de implementare a strategiei privind administrarea riscurilor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limitelor de risc stabilite.";</w:t>
      </w:r>
    </w:p>
    <w:p w14:paraId="357F099E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1.13. punctul 44 se completează cu textul " , inclusiv să comunice în mod periodic cu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control intern";</w:t>
      </w:r>
    </w:p>
    <w:p w14:paraId="65A0B11D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1.14. se completează cu punctul 44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60B780A5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44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Preşedintele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comitetului de administrare a riscurilor trebuie să fie un membru independent.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Preşedintele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comitetului de administrare a riscurilor nu trebuie să fie nici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preşedintele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consiliului băncii, nici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preşedintele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vreunui alt comitet, inclusiv în cazul reunirii acestui comitet cu alte comitete.";</w:t>
      </w:r>
    </w:p>
    <w:p w14:paraId="7ACF3558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1.15. se completează cu punctul 47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7A3E7763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47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În cazul în care nu a fost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înfiinţat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un comitet de numire, se aplică prevederile punctului 23, iar evaluarea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menţionată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punctul 47 subpunctele 4)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5) se va realiza cel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dată la 2 ani."</w:t>
      </w:r>
    </w:p>
    <w:p w14:paraId="49770C12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1.16. la punctul 61 textul "numit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şef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coordonator al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administrare a riscurilor sau al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conformitate sau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combinate" se substituie cu textul "împuternicit cu responsabilitatea generală pentru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administrare a riscurilor băncii (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Chief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Risk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Officer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) sau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conformitate (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Chief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Compliance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Officer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), sau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combinată";</w:t>
      </w:r>
    </w:p>
    <w:p w14:paraId="7716F929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1.17. se completează cu punctele 74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74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2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476185F1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74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Banca trebuie să se asigure că nu se face discriminare între membrii personalului după orice criteriu, inclusiv pe criterii de gen, vârstă, rasă, culoare a pielii, etnie, limbă,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apartenenţă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o minoritate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naţională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religie, opinie politică, origine socială, domiciliu, dizabilitate,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alte criterii nelegate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calităţile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lor profesionale.</w:t>
      </w:r>
    </w:p>
    <w:p w14:paraId="035C45B2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74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2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Banca trebuie să dispună de politici care să faciliteze reintegrarea personalului după concediul de maternitate, paternal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îngrijirea copilului.";</w:t>
      </w:r>
    </w:p>
    <w:p w14:paraId="05EA7AA9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1.18. la punctul 76:</w:t>
      </w:r>
    </w:p>
    <w:p w14:paraId="0F70535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1.18.1. subpunctul 2), după cuvântul "cultură" se completează cu cuvântul "solidă";</w:t>
      </w:r>
    </w:p>
    <w:p w14:paraId="63397E40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1.18.2. subpunctul 3), după cuvintele "de spălare a banilor" se completează cu cuvintele "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finanţare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terorismului";</w:t>
      </w:r>
    </w:p>
    <w:p w14:paraId="2FAD5B0E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1.18.3. subpunctul 4) după cuvântul "cu onestitate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" se completează cu cuvintele "integritate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";</w:t>
      </w:r>
    </w:p>
    <w:p w14:paraId="288B00F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1.19. punctul 89 se completează cu o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propoziţie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 "Banca trebuie să ia în considerare faptul că ar putea să apară conflicte de interese nu doar ca urmare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relaţiilor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personale sau profesionale actuale, ci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 urmare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relaţiilor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personale sau profesionale din trecut.";</w:t>
      </w:r>
    </w:p>
    <w:p w14:paraId="77B05473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1.20. la punctul 90 cuvintele "o dată pe" se substituie cu cuvântul "un";</w:t>
      </w:r>
    </w:p>
    <w:p w14:paraId="42A4A861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1.21. punctul 96 se completează cu subpunctul 6) cu următorul cuprins:</w:t>
      </w:r>
    </w:p>
    <w:p w14:paraId="41DC5A98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"6) stabilirea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responsabilităţii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membrilor organului de conducere de a se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abţine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la vot în orice chestiune în care un membru are sau poate avea un conflict de interese sau în care obiectivitatea sau capacitatea membrului de a-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îndeplini în mod corespunzător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atribuţiile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bancă ar putea fi astfel compromisă.";</w:t>
      </w:r>
    </w:p>
    <w:p w14:paraId="3D8C4C6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1.22. se completează cu punctele 111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-111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15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4A5B63A1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Politica privind numirea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-cheie, pe lângă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indicate la pct.111, trebuie să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conţină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planificarea succesiunii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-cheie, politica de promovare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diversităţii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cadrul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politica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formare a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-cheie.</w:t>
      </w:r>
    </w:p>
    <w:p w14:paraId="2F0A0662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2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Banca, la stabilirea planului de succesiune trebuie să asigure continuitatea luării deciziilor în cadrul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prevină, atunci când este necesar,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situaţia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care un număr mare de persoane sau toate aceste persoane să fie înlocuite simultan.</w:t>
      </w:r>
    </w:p>
    <w:p w14:paraId="2EA3B0D9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3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Planificarea succesiunii trebuie să prevadă cel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58C4471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procesul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selecţie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numirea, reînvestirea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planificarea succesiunii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-cheie;</w:t>
      </w:r>
    </w:p>
    <w:p w14:paraId="7CE89B37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2) procedura internă aplicabilă pentru evaluarea adecvării persoanei, inclusiv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internă responsabilă pentru acordarea de sprijin în evaluare;</w:t>
      </w:r>
    </w:p>
    <w:p w14:paraId="029786F8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planurile, politicile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procesele băncii pentru abordarea cazurilor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absenţă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plecare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neaşteptată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-cheie, inclusiv orice măsuri provizorii relevante.</w:t>
      </w:r>
    </w:p>
    <w:p w14:paraId="0A21807C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Planificarea succesiunii trebuie să ia în considerare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obiectivele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ţintele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definite în politica de promovarea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diversităţii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424AC4DB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4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Banca trebuie să dispună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pună în aplicare o politică de promovare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diversităţii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cadrul organului de conducere pentru a promova formarea unei baze diversificate de membri. Aceasta trebuie să aibă ca obiectiv utilizarea unei serii ample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calităţi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competenţe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numirea/alegerea membrilor organului de conducere pentru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obţine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varietate de opinii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experienţe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a facilita exprimarea unor opinii independente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derularea unui proces de decizie solid în cadrul organului de conducere.</w:t>
      </w:r>
    </w:p>
    <w:p w14:paraId="496ECBAF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Banca trebuie să asigure respectarea principiului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oportunităţilor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egale la selectarea membrilor organului de conducere.</w:t>
      </w:r>
    </w:p>
    <w:p w14:paraId="3A88C3B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5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a facilita constituirea unei baze diversificate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candidaţi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organului de conducere, banca trebuie să dispună de o politică de promovare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diversităţii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angajaţi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trebuie să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conţină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inclusiv, aspecte legate de planificarea carierei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măsuri de asigurare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egalităţii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tratament,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oportunităţi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angajaţii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diferite genuri.</w:t>
      </w:r>
    </w:p>
    <w:p w14:paraId="2BC99787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6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Politica de promovare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diversităţii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facă referire, cel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la următoarele aspecte legate de diversitate: contextul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educaţional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cel profesional, gen, vârstă,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provenienţa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geografică.</w:t>
      </w:r>
    </w:p>
    <w:p w14:paraId="6FC6F187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lastRenderedPageBreak/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7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Banca trebuie să dispună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pună în aplicare o politică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formare a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-cheie.</w:t>
      </w:r>
    </w:p>
    <w:p w14:paraId="3E2CBFEE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Banca trebuie să asigure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persoanelor cu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în scopul asigurării unei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înţelegeri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clare din partea acestora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legislaţiei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reglementărilor interne ale băncii, a structurii, modelului de afaceri, profilului de risc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cadrului de administrare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băncii,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rolului fiecărui membru al organului de conducere/persoane cu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-cheie în cadrul acesteia.</w:t>
      </w:r>
    </w:p>
    <w:p w14:paraId="55CBD8E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Banca trebuie să pună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dispoziţia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programe de formare relevante cu caracter general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după caz, adaptate în mod corespunzător, la nivel individual. Formarea trebuie să promoveze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conştientizarea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acestora cu privire la beneficiile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diversităţii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nivelul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cadrul băncii.</w:t>
      </w:r>
    </w:p>
    <w:p w14:paraId="084D5F7B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8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Banca trebuie să dispună de reglementări interne primare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secundare privind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formarea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-cheie. Politica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 trebuie aprobată de către consiliul băncii.</w:t>
      </w:r>
    </w:p>
    <w:p w14:paraId="1B549653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9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Banca trebuie să aloce suficiente resurse pentru realizarea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formării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la nivel individual, după caz, la nivel colectiv. Aceste resurse trebuie să asigure ca membrul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persoana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să fie adecvate pentru rolul 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respecte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prevăzute în Regulamentul cu privire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membrii organului de conducere al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holding sau holding mixte, conducătorii sucursalei unei bănci din alt stat, persoanele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lichidatorul băncii în proces de lichidare, aprobat prin Hotărârea Comitetului executiv al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nr.292/2018.</w:t>
      </w:r>
    </w:p>
    <w:p w14:paraId="1717C12D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10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prevadă ca fiecare persoană preconizată pentru a fi propusă ca membru al organului de conducere sau ca persoană care va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să parcurgă un program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să fie realizat până la înaintarea persoanei spre aprobare la Banca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Naţională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în contextul art.43 alin.(5) din Legea nr.202/2017.</w:t>
      </w:r>
    </w:p>
    <w:p w14:paraId="055A98B8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Formarea trebuie să prevadă ca fiecare membru al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persoană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să parcurgă, anual, un program de formare externă cu o durată minimă de 40 ore academice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fie conceput astfel încât să includă formarea în domeniile aferente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bancare, inclusiv cadrul de reglementare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prudenţial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guvernanţa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corporativă, identificarea, administrarea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gestionarea riscurilor, mecanismele de control intern etc.</w:t>
      </w:r>
    </w:p>
    <w:p w14:paraId="7FA17540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12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Reglementările interne primare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secundare privind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formarea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trebuie să prevadă cel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701C111B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obiectivele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 pentru organul de conducere, separat, pentru membrii organului executiv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membrii consiliului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persoanele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-cheie. Aici trebuie incluse obiectivele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 pentru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presupun anumite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specificităţi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raport cu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responsabilităţile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particulare ale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implicarea în cadrul comitetelor;</w:t>
      </w:r>
    </w:p>
    <w:p w14:paraId="7FC9388F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2)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responsabilităţile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elaborarea unui program detaliat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, după caz, de formare;</w:t>
      </w:r>
    </w:p>
    <w:p w14:paraId="658BBA9C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resursele financiare puse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dispoziţie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bancă pentru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ţinând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numărul sesiunilor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formare, de costurile acestora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orice sarcini administrative conexe pentru a asigura posibilitatea furnizării cursurilor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 în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concordanţă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politica respectivă;</w:t>
      </w:r>
    </w:p>
    <w:p w14:paraId="3C82EBD5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4) un proces clar, în care orice membru al organului de conducere sau persoană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-cheie poate solicita formarea.</w:t>
      </w:r>
    </w:p>
    <w:p w14:paraId="059E1935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lastRenderedPageBreak/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13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În elaborarea politicii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formare, organul de conducere sau comitetul de numire, dacă este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înfiinţat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trebuie să aibă în vedere aportul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resurse umane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responsabile pentru bugetarea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organizarea cursurilor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control intern relevante, după caz.</w:t>
      </w:r>
    </w:p>
    <w:p w14:paraId="1D39BD07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Banca trebuie să dispună de un proces de identificare a domeniilor în care este necesară formarea membrilor organului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persoanelor 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la nivel individual, după caz, la nivel colectiv. Domeniile de activitate relevante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interne, inclusiv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control intern, trebuie implicate, după caz, în dezvoltarea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conţinutului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programelor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formare.</w:t>
      </w:r>
    </w:p>
    <w:p w14:paraId="4B1586E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14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Politica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formare trebuie actualizată, în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schimbările cadrului de administrare, schimbările strategice, noile produse, de modificările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legislaţiei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domeniu sau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evoluţiile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pieţei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alte schimbări considerate de bancă relevante în contextul acestei politici.</w:t>
      </w:r>
    </w:p>
    <w:p w14:paraId="13E5A2E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15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Banca trebuie să dispună de un proces care să asigure evaluarea programelor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formare oferite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a asigura conformarea cu politicile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procedurile privind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formarea.";</w:t>
      </w:r>
    </w:p>
    <w:p w14:paraId="6BA6BD2C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1.23. la punctul 112, după cuvintele "să dispună de o politică de remunerare" se completează cu cuvintele " neutră din punctul de vedere al genului";</w:t>
      </w:r>
    </w:p>
    <w:p w14:paraId="76B43199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1.24. se completează cu punctul 112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79DFBB15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112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O politică de remunerare neutră din punctul de vedere al genului trebuie să garanteze că toate aspectele din această politică sunt neutre din punctul de vedere al genului, inclusiv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condiţiile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acordare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plată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remuneraţiei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. Banca trebuie să poată demonstra că politica de remunerare este neutră din punctul de vedere al genului.";</w:t>
      </w:r>
    </w:p>
    <w:p w14:paraId="17190240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1.25. punctul 124 se completează cu textul "pentru a analiza dacă stimulentele oferite de politicile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practicile de remunerare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ţin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seama de riscurile, capitalul,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lichidităţile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probabilitatea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calendarul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câştigurilor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băncii";</w:t>
      </w:r>
    </w:p>
    <w:p w14:paraId="35782133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1.26. punctul 160 subpunctul 7):</w:t>
      </w:r>
    </w:p>
    <w:p w14:paraId="5C9E7419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1.26.1. litera b), a doua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liniuţă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 avea următorul cuprins:</w:t>
      </w:r>
    </w:p>
    <w:p w14:paraId="45D8C35D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"- debitorilor, cărora banca le-a acordat credite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leasing financiar, al căror sold total pentru un debitor nu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depăşeşte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limitele stabilite la pct.9 litera h) din Regulamentul cu privire la clasificarea activelor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angajamentelor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condiţionale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aprobat prin Hotărârea Consiliului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administraţie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nr.231/2011.";</w:t>
      </w:r>
    </w:p>
    <w:p w14:paraId="27CBB049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1.26.2. după cuvintele "acumulată de la debitor" se completează cu textul "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din alte surse sigure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independente";</w:t>
      </w:r>
    </w:p>
    <w:p w14:paraId="4C36B0C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1.27. la punctul 228, după cuvântul "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înţelegere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 se completează cu cuvintele "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viziune holistică";</w:t>
      </w:r>
    </w:p>
    <w:p w14:paraId="69283DA5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1.28. punctul 229 va avea următorul cuprins:</w:t>
      </w:r>
    </w:p>
    <w:p w14:paraId="47D1D91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229.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Banca trebuie să dezvolte o cultură privind riscurile prin politici, exemple, comunicare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instruire a personalului cu privire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activităţile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strategia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profilul de risc al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adapteze comunicarea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instruirea personalului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ţinând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responsabilităţile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personalului privind asumarea riscurilor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administrarea riscurilor.";</w:t>
      </w:r>
    </w:p>
    <w:p w14:paraId="5882A571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1.29. la punctul 232 subpunctul 2) cuvintele " riscant al băncii" se substituie cu cuvintele "băncii de asumare a riscurilor";</w:t>
      </w:r>
    </w:p>
    <w:p w14:paraId="2711C89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1.30. punctul 233 se completează cu textul " 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riscul asociat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conformităţii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prevenire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combatere a spălării banilor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finanţării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terorismului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infracţiuni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riscul strategic.";</w:t>
      </w:r>
    </w:p>
    <w:p w14:paraId="70489826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1.31. punctul 241 se completează cu subpunctele 11) – 13) cu următorul cuprins:</w:t>
      </w:r>
    </w:p>
    <w:p w14:paraId="2C01E776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"11) sistemele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informaţionale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infrastructura de date adecvată detaliată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suficient de granulară, pentru sprijinirea procesului de acordare de credite, administrarea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monitorizarea riscului de credit pe parcursul întregului ciclu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viaţă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facilităţilor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credit (de exemplu,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iniţierea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creditelor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evaluarea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bonităţii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evaluarea riscurilor, analiza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monitorizarea creditelor), identificarea, agregarea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raportarea cu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acurateţe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timp a expunerilor la riscul de credit, către organul de conducere, pe bază continuă;</w:t>
      </w:r>
    </w:p>
    <w:p w14:paraId="601964DE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12) procesele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procedurile privind identificarea, evaluarea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administrarea riscurilor de spălare a banilor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finanţare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terorismului la care sunt expuse băncile ca urmare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activităţilor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lor de acordare de credite;</w:t>
      </w:r>
    </w:p>
    <w:p w14:paraId="493F9208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13) o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definiţie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cuprinzătoare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tranzacţiilor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efect de levier, care să ia în considerare nivelul efectului de levier al debitorului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scopul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tranzacţiei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acopere toate liniile de activitate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unităţile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risc de credit.";</w:t>
      </w:r>
    </w:p>
    <w:p w14:paraId="26D220A3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1.32. se completează cu punctul 241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663ADDFC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241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Atunci când utilizează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inovaţii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componentă tehnologică în scopul acordării de credite, băncile trebuie:</w:t>
      </w:r>
    </w:p>
    <w:p w14:paraId="7B630567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să acopere în mod adecvat, prin reglementările interne primare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secundare de control intern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 cadrul de administrare a riscurilor, riscurile inerente asociate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inovaţiilor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componentă tehnologică utilizate. Acest lucru trebuie să fie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proporţional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modelul de afaceri, cu expunerea la riscul de credit, cu complexitatea metodelor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gradul de utilizare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inovaţiilor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componentă tehnologică;</w:t>
      </w:r>
    </w:p>
    <w:p w14:paraId="20D34019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2) să se asigure că organul de conducere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înţelege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suficient de bine cum să utilizeze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inovaţiile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componentă tehnologică, care sunt limitele acestora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ce impact au asupra procedurilor de acordare a creditelor;</w:t>
      </w:r>
    </w:p>
    <w:p w14:paraId="634EC656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să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înţeleagă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modelele de bază utilizate, inclusiv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capacităţile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ipotezele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limitările acestora,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asigure trasabilitatea, verificabilitatea, soliditatea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rezilienţa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acestora;</w:t>
      </w:r>
    </w:p>
    <w:p w14:paraId="601BC77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4) să se asigure că modelele sunt adaptate scopului în care au fost create,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ţinând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sarcinile identificate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alte criterii, cum ar fi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utilizarea acestora. În cazul în care utilizarea modelelor necesită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explicaţii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, trebuie să se ia în considerare elaborarea unui model interpretabil;</w:t>
      </w:r>
    </w:p>
    <w:p w14:paraId="24C0854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5) să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înţeleagă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calitatea datelor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intrărilor aferente modelului, să detecteze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prevină erorile sistematice în procesul decizional în materie de credite, asigurându-se că există măsuri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protecţie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adecvate pentru a asigura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confidenţialitatea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integritatea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disponibilitatea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sistemelor;</w:t>
      </w:r>
    </w:p>
    <w:p w14:paraId="08C625ED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6) să se asigure că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modelului, inclusiv valabilitatea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calitatea rezultatelor sale, este permanent monitorizată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că se iau măsuri adecvate de remediere în timp util în cazul în care se constată probleme.";</w:t>
      </w:r>
    </w:p>
    <w:p w14:paraId="34A9B7DC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1.33. se completează cu punctele 247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- 247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5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următorul cuprins:</w:t>
      </w:r>
    </w:p>
    <w:p w14:paraId="6DFF46B0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"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247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1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Banca trebuie să dispună de reglementări interne primare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secundare pentru monitorizarea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garanţiilor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reale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verificarea faptului că respectivele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garanţii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sunt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continuă să fie executabile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valorificabile. Aceste reglementări trebuie să specifice metode de monitorizare prudente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proporţionale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tipul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valoarea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potenţială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garanţiilor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reale, care urmează să fie utilizate de către un specialist în subdiviziunea responsabilă de monitorizarea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garanţiilor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reale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utilizarea modelelor statistice pentru fiecare tip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garanţie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reală. Banca trebuie să se asigure că aceste abordări sunt corelate cu contractele de credit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sunt conforme cu reglementările interne primare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secundare privind riscul de credit.</w:t>
      </w:r>
    </w:p>
    <w:p w14:paraId="7547D0FC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247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2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. Banca trebuie să stabilească, prin reglementările interne primare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secundare, criteriile de utilizare a modelelor statistice în scopul evaluării, reevaluării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monitorizării valorilor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garanţiilor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reale. Aceste reglementări trebuie să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ţină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rezultatele dovedite ale acestor modele, de variabilele specifice imobilelor în cauză, de utilizarea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minime disponibile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exacte, precum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incertitudinea modelelor.</w:t>
      </w:r>
    </w:p>
    <w:p w14:paraId="5F2947E9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247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3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Băncile trebuie să se asigure că modelele statistice utilizate sunt:</w:t>
      </w:r>
    </w:p>
    <w:p w14:paraId="4DB892EE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1) specifice imobilelor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locaţiilor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un nivel suficient de detaliat;</w:t>
      </w:r>
    </w:p>
    <w:p w14:paraId="3CE993C5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2) valabile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exacte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fac obiectul unor testări ex-post periodice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riguroase în raport cu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preţurile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reale observate în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tranzacţii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67D6C834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3) bazate pe un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eşantion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suficient de mare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reprezentativ, pe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preţurile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observate în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tranzacţii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35CB525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4) bazate pe date actualizate de înaltă calitate.</w:t>
      </w:r>
    </w:p>
    <w:p w14:paraId="542309E8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247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4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utilizarea modelelor statistice, băncile sunt responsabile în ultimă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instanţă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caracterul adecvat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modelelor, iar evaluatorul rămâne responsabil de evaluarea realizată prin utilizarea unui model statistic. Băncile trebuie să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înţeleagă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metodologia, datele de intrare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ipotezele modelelor utilizate. Băncile trebuie să se asigure că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documentaţia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modelelor este actualizată.</w:t>
      </w:r>
    </w:p>
    <w:p w14:paraId="5F3FE07F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247</w:t>
      </w:r>
      <w:r w:rsidRPr="005B44DA">
        <w:rPr>
          <w:rFonts w:ascii="Arial" w:eastAsia="Times New Roman" w:hAnsi="Arial" w:cs="Arial"/>
          <w:b/>
          <w:bCs/>
          <w:kern w:val="0"/>
          <w:vertAlign w:val="superscript"/>
          <w:lang w:eastAsia="ro-MD"/>
          <w14:ligatures w14:val="none"/>
        </w:rPr>
        <w:t>5</w:t>
      </w: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Băncile trebuie să dispună de procese, sisteme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capacităţi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informatice adecvate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date suficiente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exacte pentru a efectua o evaluare bazată pe modele statistice sau o reevaluare 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garanţiilor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reale.";</w:t>
      </w:r>
    </w:p>
    <w:p w14:paraId="30945276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1.34. la punctul 387</w:t>
      </w:r>
      <w:r w:rsidRPr="005B44DA">
        <w:rPr>
          <w:rFonts w:ascii="Arial" w:eastAsia="Times New Roman" w:hAnsi="Arial" w:cs="Arial"/>
          <w:kern w:val="0"/>
          <w:vertAlign w:val="superscript"/>
          <w:lang w:eastAsia="ro-MD"/>
          <w14:ligatures w14:val="none"/>
        </w:rPr>
        <w:t>8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cuvintele "că reexaminează" se substituie cu cuvintele "să reexamineze";</w:t>
      </w:r>
    </w:p>
    <w:p w14:paraId="452C490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1.35. punctul 389 se completează cu textul "Rapoartele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menţionate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vor fi transmise prin intermediul portalului WEB al Sistemului informatic al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cu privire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licenţiere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autorizare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notificare, conform Ghidului privind utilizarea portalului WEB al Sistemului informatic al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cu privire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licenţiere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autorizare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notificare.";</w:t>
      </w:r>
    </w:p>
    <w:p w14:paraId="4EFAEC1C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1.36. la punctul 390, după textul "a Moldovei anual," se completează cu textul "prin intermediul portalului Web al Sistemului informatic al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cu privire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licenţiere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autorizare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notificare, conform Ghidului privind utilizarea portalului Web al Sistemului informatic al Băncii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cu privire la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licenţiere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autorizare </w:t>
      </w:r>
      <w:proofErr w:type="spellStart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notificare,".</w:t>
      </w:r>
    </w:p>
    <w:p w14:paraId="0B40C218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4E62D6FA" w14:textId="77777777" w:rsidR="005B44DA" w:rsidRPr="005B44DA" w:rsidRDefault="005B44DA" w:rsidP="005B44D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5B44DA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2.</w:t>
      </w:r>
      <w:r w:rsidRPr="005B44DA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Prezenta hotărâre intră în vigoare la expirarea a 5 luni de la data publicării în Monitorul Oficial al Republicii Moldova.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2021"/>
      </w:tblGrid>
      <w:tr w:rsidR="005B44DA" w:rsidRPr="005B44DA" w14:paraId="1EEE5800" w14:textId="77777777" w:rsidTr="005B44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40DE20DE" w14:textId="77777777" w:rsidR="005B44DA" w:rsidRPr="005B44DA" w:rsidRDefault="005B44DA" w:rsidP="005B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5B44D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PREŞEDINTELE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FBBA4" w14:textId="77777777" w:rsidR="005B44DA" w:rsidRPr="005B44DA" w:rsidRDefault="005B44DA" w:rsidP="005B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5B44DA" w:rsidRPr="005B44DA" w14:paraId="16A325BB" w14:textId="77777777" w:rsidTr="005B44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8B2AE2D" w14:textId="77777777" w:rsidR="005B44DA" w:rsidRPr="005B44DA" w:rsidRDefault="005B44DA" w:rsidP="005B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5B44D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0B456" w14:textId="77777777" w:rsidR="005B44DA" w:rsidRPr="005B44DA" w:rsidRDefault="005B44DA" w:rsidP="005B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5B44D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Anca-Dana DRAGU</w:t>
            </w:r>
          </w:p>
        </w:tc>
      </w:tr>
      <w:tr w:rsidR="005B44DA" w:rsidRPr="005B44DA" w14:paraId="580EAC95" w14:textId="77777777" w:rsidTr="005B44D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0BEB2C49" w14:textId="77777777" w:rsidR="005B44DA" w:rsidRPr="005B44DA" w:rsidRDefault="005B44DA" w:rsidP="005B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5B44D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Nr.219. </w:t>
            </w:r>
            <w:proofErr w:type="spellStart"/>
            <w:r w:rsidRPr="005B44D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Chişinău</w:t>
            </w:r>
            <w:proofErr w:type="spellEnd"/>
            <w:r w:rsidRPr="005B44D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, 25 septembrie 2025.</w:t>
            </w:r>
          </w:p>
        </w:tc>
      </w:tr>
    </w:tbl>
    <w:p w14:paraId="506CAE12" w14:textId="07680F24" w:rsidR="00860578" w:rsidRDefault="00860578" w:rsidP="00CD7CF9"/>
    <w:sectPr w:rsidR="0086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6"/>
    <w:rsid w:val="00005AED"/>
    <w:rsid w:val="0010648A"/>
    <w:rsid w:val="00222FD7"/>
    <w:rsid w:val="00545FD1"/>
    <w:rsid w:val="005B44DA"/>
    <w:rsid w:val="005D7236"/>
    <w:rsid w:val="00860578"/>
    <w:rsid w:val="009B2576"/>
    <w:rsid w:val="00C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6009"/>
  <w15:chartTrackingRefBased/>
  <w15:docId w15:val="{7F3CE997-A78A-47C0-8733-50C12045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2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B4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4156</Words>
  <Characters>24110</Characters>
  <Application>Microsoft Office Word</Application>
  <DocSecurity>0</DocSecurity>
  <Lines>200</Lines>
  <Paragraphs>56</Paragraphs>
  <ScaleCrop>false</ScaleCrop>
  <Company/>
  <LinksUpToDate>false</LinksUpToDate>
  <CharactersWithSpaces>28210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2025-10-17T06:02:00Z</dcterms:created>
  <dcterms:modified xsi:type="dcterms:W3CDTF">2025-10-17T06:13:00Z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2025-10-17T06:02:46Z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b21e1d96-733f-406f-930e-7956d34a9e80</vt:lpwstr>
  </property>
  <property fmtid="{D5CDD505-2E9C-101B-9397-08002B2CF9AE}" pid="8" name="MSIP_Label_38962dcf-d39f-4edc-a396-338a56ba9170_ContentBits">
    <vt:lpwstr>0</vt:lpwstr>
  </property>
</Properties>
</file>