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47B0" w14:textId="77777777" w:rsidR="00B37962" w:rsidRPr="00417B9B" w:rsidRDefault="00B37962" w:rsidP="00B3796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ru-RU" w:eastAsia="ro-MD"/>
          <w14:ligatures w14:val="none"/>
        </w:rPr>
      </w:pPr>
      <w:r w:rsidRPr="00417B9B">
        <w:rPr>
          <w:rFonts w:ascii="Arial" w:eastAsia="Times New Roman" w:hAnsi="Arial" w:cs="Arial"/>
          <w:b/>
          <w:bCs/>
          <w:kern w:val="0"/>
          <w:lang w:val="ru-RU" w:eastAsia="ro-MD"/>
          <w14:ligatures w14:val="none"/>
        </w:rPr>
        <w:t>ИСПОЛНИТЕЛЬНЫЙ КОМИТЕТ</w:t>
      </w:r>
    </w:p>
    <w:p w14:paraId="2CA41650" w14:textId="77777777" w:rsidR="00B37962" w:rsidRPr="00417B9B" w:rsidRDefault="00B37962" w:rsidP="00B3796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ru-RU" w:eastAsia="ro-MD"/>
          <w14:ligatures w14:val="none"/>
        </w:rPr>
      </w:pPr>
      <w:r w:rsidRPr="00417B9B">
        <w:rPr>
          <w:rFonts w:ascii="Arial" w:eastAsia="Times New Roman" w:hAnsi="Arial" w:cs="Arial"/>
          <w:b/>
          <w:bCs/>
          <w:kern w:val="0"/>
          <w:lang w:val="ru-RU" w:eastAsia="ro-MD"/>
          <w14:ligatures w14:val="none"/>
        </w:rPr>
        <w:t>НАЦИОНАЛЬНОГО БАНКА МОЛДОВЫ</w:t>
      </w:r>
    </w:p>
    <w:p w14:paraId="2DF8B9B4" w14:textId="77777777" w:rsidR="00B37962" w:rsidRPr="00417B9B" w:rsidRDefault="00B37962" w:rsidP="00B3796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ru-RU" w:eastAsia="ro-MD"/>
          <w14:ligatures w14:val="none"/>
        </w:rPr>
      </w:pPr>
    </w:p>
    <w:p w14:paraId="39F90289" w14:textId="1871AD58" w:rsidR="00B37962" w:rsidRPr="00B37962" w:rsidRDefault="00B37962" w:rsidP="00B3796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en-US" w:eastAsia="ro-MD"/>
          <w14:ligatures w14:val="none"/>
        </w:rPr>
      </w:pPr>
      <w:r w:rsidRPr="00417B9B">
        <w:rPr>
          <w:rFonts w:ascii="Arial" w:eastAsia="Times New Roman" w:hAnsi="Arial" w:cs="Arial"/>
          <w:b/>
          <w:bCs/>
          <w:kern w:val="0"/>
          <w:lang w:val="ru-RU" w:eastAsia="ro-MD"/>
          <w14:ligatures w14:val="none"/>
        </w:rPr>
        <w:t>ПОСТАНОВЛЕНИЕ № 21</w:t>
      </w:r>
      <w:r>
        <w:rPr>
          <w:rFonts w:ascii="Arial" w:eastAsia="Times New Roman" w:hAnsi="Arial" w:cs="Arial"/>
          <w:b/>
          <w:bCs/>
          <w:kern w:val="0"/>
          <w:lang w:val="en-US" w:eastAsia="ro-MD"/>
          <w14:ligatures w14:val="none"/>
        </w:rPr>
        <w:t>9</w:t>
      </w:r>
    </w:p>
    <w:p w14:paraId="20E31AF0" w14:textId="77777777" w:rsidR="00B37962" w:rsidRDefault="00B37962" w:rsidP="00B3796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en-US" w:eastAsia="ro-MD"/>
          <w14:ligatures w14:val="none"/>
        </w:rPr>
      </w:pPr>
      <w:r w:rsidRPr="00417B9B">
        <w:rPr>
          <w:rFonts w:ascii="Arial" w:eastAsia="Times New Roman" w:hAnsi="Arial" w:cs="Arial"/>
          <w:b/>
          <w:bCs/>
          <w:kern w:val="0"/>
          <w:lang w:val="ru-RU" w:eastAsia="ro-MD"/>
          <w14:ligatures w14:val="none"/>
        </w:rPr>
        <w:t>от 25 сентября 2025</w:t>
      </w:r>
    </w:p>
    <w:p w14:paraId="460B474A" w14:textId="39BACE74" w:rsidR="00B37962" w:rsidRPr="00220423" w:rsidRDefault="00B37962" w:rsidP="00B37962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i/>
          <w:iCs/>
          <w:kern w:val="0"/>
          <w:sz w:val="22"/>
          <w:szCs w:val="22"/>
          <w:lang w:eastAsia="ro-MD"/>
          <w14:ligatures w14:val="none"/>
        </w:rPr>
        <w:t xml:space="preserve">(в </w:t>
      </w:r>
      <w:proofErr w:type="spellStart"/>
      <w:r w:rsidRPr="00220423">
        <w:rPr>
          <w:rFonts w:ascii="Arial" w:eastAsia="Times New Roman" w:hAnsi="Arial" w:cs="Arial"/>
          <w:i/>
          <w:iCs/>
          <w:kern w:val="0"/>
          <w:sz w:val="22"/>
          <w:szCs w:val="22"/>
          <w:lang w:eastAsia="ro-MD"/>
          <w14:ligatures w14:val="none"/>
        </w:rPr>
        <w:t>силу</w:t>
      </w:r>
      <w:proofErr w:type="spellEnd"/>
      <w:r w:rsidRPr="00220423">
        <w:rPr>
          <w:rFonts w:ascii="Arial" w:eastAsia="Times New Roman" w:hAnsi="Arial" w:cs="Arial"/>
          <w:i/>
          <w:iCs/>
          <w:kern w:val="0"/>
          <w:sz w:val="22"/>
          <w:szCs w:val="22"/>
          <w:lang w:eastAsia="ro-MD"/>
          <w14:ligatures w14:val="none"/>
        </w:rPr>
        <w:t xml:space="preserve"> 02.03.2026)</w:t>
      </w:r>
    </w:p>
    <w:p w14:paraId="488F32F7" w14:textId="43C11FFF" w:rsidR="00B37962" w:rsidRPr="00B37962" w:rsidRDefault="00B37962" w:rsidP="00B37962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</w:pPr>
      <w:proofErr w:type="spellStart"/>
      <w:r w:rsidRPr="00220423"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>Мониторул</w:t>
      </w:r>
      <w:proofErr w:type="spellEnd"/>
      <w:r w:rsidRPr="00220423"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>Офичиал</w:t>
      </w:r>
      <w:proofErr w:type="spellEnd"/>
      <w:r w:rsidRPr="00220423"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>ал</w:t>
      </w:r>
      <w:proofErr w:type="spellEnd"/>
      <w:r w:rsidRPr="00220423"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 xml:space="preserve"> Р. </w:t>
      </w:r>
      <w:proofErr w:type="spellStart"/>
      <w:r w:rsidRPr="00220423"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>Молдова</w:t>
      </w:r>
      <w:proofErr w:type="spellEnd"/>
      <w:r w:rsidRPr="00220423"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 xml:space="preserve"> № 515-518 </w:t>
      </w:r>
      <w:proofErr w:type="spellStart"/>
      <w:r w:rsidRPr="00220423"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>ст</w:t>
      </w:r>
      <w:proofErr w:type="spellEnd"/>
      <w:r w:rsidRPr="00220423"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>. 894</w:t>
      </w:r>
      <w:r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>от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 xml:space="preserve"> </w:t>
      </w:r>
      <w:r w:rsidRPr="00220423"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>02.10.2025</w:t>
      </w:r>
    </w:p>
    <w:p w14:paraId="7FB20ABC" w14:textId="77777777" w:rsidR="00B37962" w:rsidRPr="00B37962" w:rsidRDefault="00B37962" w:rsidP="00B3796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ru-RU" w:eastAsia="ro-MD"/>
          <w14:ligatures w14:val="none"/>
        </w:rPr>
      </w:pPr>
    </w:p>
    <w:p w14:paraId="37E02414" w14:textId="77777777" w:rsidR="00220423" w:rsidRPr="00220423" w:rsidRDefault="00220423" w:rsidP="0022042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о </w:t>
      </w:r>
      <w:proofErr w:type="spellStart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внесении</w:t>
      </w:r>
      <w:proofErr w:type="spellEnd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изменений</w:t>
      </w:r>
      <w:proofErr w:type="spellEnd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Регламент</w:t>
      </w:r>
      <w:proofErr w:type="spellEnd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об</w:t>
      </w:r>
      <w:proofErr w:type="spellEnd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основах</w:t>
      </w:r>
      <w:proofErr w:type="spellEnd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деятельностью</w:t>
      </w:r>
      <w:proofErr w:type="spellEnd"/>
    </w:p>
    <w:p w14:paraId="2CD4D26F" w14:textId="77777777" w:rsidR="00220423" w:rsidRPr="00220423" w:rsidRDefault="00220423" w:rsidP="0022042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proofErr w:type="spellStart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банков</w:t>
      </w:r>
      <w:proofErr w:type="spellEnd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утвержденный</w:t>
      </w:r>
      <w:proofErr w:type="spellEnd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Постановлением</w:t>
      </w:r>
      <w:proofErr w:type="spellEnd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Исполнительного</w:t>
      </w:r>
      <w:proofErr w:type="spellEnd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комитета</w:t>
      </w:r>
      <w:proofErr w:type="spellEnd"/>
    </w:p>
    <w:p w14:paraId="7B99A484" w14:textId="77777777" w:rsidR="00220423" w:rsidRPr="00220423" w:rsidRDefault="00220423" w:rsidP="0022042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proofErr w:type="spellStart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Национального</w:t>
      </w:r>
      <w:proofErr w:type="spellEnd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Молдовы</w:t>
      </w:r>
      <w:proofErr w:type="spellEnd"/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№ 322/2018</w:t>
      </w:r>
    </w:p>
    <w:p w14:paraId="0006AA34" w14:textId="7728F128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</w:p>
    <w:p w14:paraId="629C6AEB" w14:textId="77777777" w:rsidR="00220423" w:rsidRPr="00220423" w:rsidRDefault="00220423" w:rsidP="00220423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* * *</w:t>
      </w:r>
    </w:p>
    <w:p w14:paraId="25BEB23B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основании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части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(3) ст.38,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части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(3) ст.39,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части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(3) ст.43,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части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(5) ст.44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части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(1) ст.84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Закона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о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деятельности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№ 202/2017 (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Официальный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монитор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Республики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Молдова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2017, № 434-439, ст.727),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Исполнительный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комитет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Национального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Молдовы</w:t>
      </w:r>
      <w:proofErr w:type="spellEnd"/>
    </w:p>
    <w:p w14:paraId="1FC85AC0" w14:textId="77777777" w:rsidR="00220423" w:rsidRPr="00220423" w:rsidRDefault="00220423" w:rsidP="0022042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ПОСТАНОВЛЯЕТ:</w:t>
      </w:r>
    </w:p>
    <w:p w14:paraId="644E3F01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Регламент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основах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деятельностью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утвержденный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Постановлением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Исполнительного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комитета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Национального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Молдовы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№ 322/2018 (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Официальный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монитор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Республики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Молдова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2019, № 1-5, ст.56),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зарегистрированный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Министерстве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юстиции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Республики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Молдова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28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декабря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2018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№ 1400,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внести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изменения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28D3FF9A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всему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тексту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регламента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аудиторское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общество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любом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падеже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заменить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аудиторский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субъект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соответствующем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падеже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6801828C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4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следующими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понятиями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1CFA1944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"</w:t>
      </w:r>
      <w:proofErr w:type="spellStart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разнообразие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–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ситуация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характеристики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руководящего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включая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возраст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географическое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происхождение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образовательный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профессиональный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опыт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различаются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степени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что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это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делает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возможным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существование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различных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мнений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41A80877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обучение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–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улучшение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навыков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знаний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компетенций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руководящего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осуществляемое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постоянной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разовой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основе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рамках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любой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инициативы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программы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66599100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введение</w:t>
      </w:r>
      <w:proofErr w:type="spellEnd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должность</w:t>
      </w:r>
      <w:proofErr w:type="spellEnd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 –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подготовка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к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определенной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качестве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осуществляемая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посредством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любой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инициативы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программы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151C89B0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гендерно-нейтральная</w:t>
      </w:r>
      <w:proofErr w:type="spellEnd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политика</w:t>
      </w:r>
      <w:proofErr w:type="spellEnd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оплаты</w:t>
      </w:r>
      <w:proofErr w:type="spellEnd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труда</w:t>
      </w:r>
      <w:proofErr w:type="spellEnd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 –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оплаты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труда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основанная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принципе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равного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обращения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именно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равной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оплаты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труда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между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сотрудниками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мужского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женского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выполнение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одинаковой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работы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работы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равной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ценности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02DAF2DE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риск</w:t>
      </w:r>
      <w:proofErr w:type="spellEnd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финансирования</w:t>
      </w:r>
      <w:proofErr w:type="spellEnd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 –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что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будет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иметь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стабильных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источников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финансирования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средне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-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долгосрочной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перспективе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что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приводит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к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существующему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потенциальному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что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сможет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выполнит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неприемлемыми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затратами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финансирование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свои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финансовые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обязательства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мере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наступления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сроков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погашения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средне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-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долгосрочной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перспективе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24A3DE88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значительный</w:t>
      </w:r>
      <w:proofErr w:type="spellEnd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риск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–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оказывающий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существенное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влияние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финансовое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и/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репутационное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положение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;";</w:t>
      </w:r>
    </w:p>
    <w:p w14:paraId="3D9CBD82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8</w:t>
      </w:r>
      <w:r w:rsidRPr="00220423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4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содержания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411EF440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8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4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Каждый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выделять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достаточно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времени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выполнения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своих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обязанностей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оценке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достаточности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времени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>выделяемого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принимают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внимание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минимум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5B8D14CA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количество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занимаемых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одновременно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и/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другой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организации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этим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учетом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возможного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дублирования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когда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частью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(13) ст.43,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Закона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№ 202/2017,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числе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когда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действует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имени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юридического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качестве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члена-заместителя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полноправного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4E63658B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2)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размер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характер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масштаб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деятельности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субъекта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имеет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полномочия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и,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частности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является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субъект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иностранным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563B6F5E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3)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присутствие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стране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время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необходимое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перемещения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целях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выполнения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обязанностей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412C5C3D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4)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количество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запланированных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заседаний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5DDB69FF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5)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занимаемые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одновременно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организациях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структурах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преследующих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преимущественно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коммерческие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цели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457E53AC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6)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возможность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участия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незапланированных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заседаниях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частности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компетентными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другими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заинтересованными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сторонами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официального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графика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заседаний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1A5CC6E0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7)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характер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занимаемой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связанные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обязанности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включая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конкретные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обязанности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обязанности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генерального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директора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председателя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комитета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необходимость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участия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заседаниях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организациях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указанных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подпункте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1), и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74464D99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8)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другая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внешняя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деятельность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профессионального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политического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характера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любые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другие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соответствующие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функции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деятельность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финансовом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секторе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пределами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Республике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Молдова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ее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пределами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481BD8B3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9)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время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необходимое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6F551714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10)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влияние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любого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длительного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отсутствия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2E63421E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11)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любые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другие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соответствующие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обязанности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считает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необходимым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учитывать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оценке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выделения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достаточного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времени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30EC4973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12)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способность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выполнять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обязанности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периоды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особенно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интенсивной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деятельности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например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случае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реорганизации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реструктуризации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приобретения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поглощения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кризисных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ситуаций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результате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серьезных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трудностей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связанных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одной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несколькими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из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операций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т. д.";</w:t>
      </w:r>
    </w:p>
    <w:p w14:paraId="73CA7E5E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1.4.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11:</w:t>
      </w:r>
    </w:p>
    <w:p w14:paraId="3A5EC1D4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1.4.1.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подпункт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5)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изложить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редакции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603EA839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"5)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чтобы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функции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внутреннего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контроля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могли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действовать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независимо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независимо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обязанности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отчитываться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перед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другими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внутренними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линиями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подчиненности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могли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поднимать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вопросы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напрямую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предупреждать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совет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если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это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необходимо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когда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происходят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неблагоприятные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изменения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влияют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могут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повлиять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;";</w:t>
      </w:r>
    </w:p>
    <w:p w14:paraId="5EC8741D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1.4.2.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подпункте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7)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исполнительного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заменить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";</w:t>
      </w:r>
    </w:p>
    <w:p w14:paraId="4B1B5B78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1.4.3.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подпунктами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9) и 10)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содержания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7390E9C0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"9)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надзор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контроль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процессом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принятия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решений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действиями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исполнительного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целях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эффективного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надзора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включая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контроль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проверку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индивидуальной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коллективной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деятельности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19645ED1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10)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постоянный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мониторинг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применения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риск-культуры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.";</w:t>
      </w:r>
    </w:p>
    <w:p w14:paraId="3A963957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 xml:space="preserve">1.5.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30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письменном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виде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исключить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30228809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1.6.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подпункт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2)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31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изложить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редакции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37C99B69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"2)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получать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периодические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отчеты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информацию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ad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hoc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сообщения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мнения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начальников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функций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внутреннего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контроля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о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текущем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профиле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культуре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установленных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лимитах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о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любых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серьезных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нарушениях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числе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области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предотвращения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борьбы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отмыванием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денег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финансированием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терроризма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сопровождаемые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подробной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информацией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рекомендациями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корректирующим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мерам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необходимо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предпринять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предлагается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предпринять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отношении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выполнения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возложенных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обязанностей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;";</w:t>
      </w:r>
    </w:p>
    <w:p w14:paraId="4C5BD253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1.7.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34</w:t>
      </w:r>
      <w:r w:rsidRPr="00220423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содержания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79A0A96B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34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специализированного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комитета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участвовать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открытых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критических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дискуссиях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ходе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различные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мнения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обсуждаются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конструктивно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.";</w:t>
      </w:r>
    </w:p>
    <w:p w14:paraId="239063F6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1.8.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35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текст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остается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без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изменений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75579208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1.9.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подпункте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2)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38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передает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заменить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представляет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";</w:t>
      </w:r>
    </w:p>
    <w:p w14:paraId="3B8A298E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1.10.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42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изложить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редакции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3E68EEBF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42.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Комитет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иметь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минимум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соответствующий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доступ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к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важной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информации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данным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необходимым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выполнения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своих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обязанностей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включая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информацию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данные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полученные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функций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контроля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других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соответствующих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функций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(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например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юридических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финансовых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кадровых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информационно-технологических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),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включая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информацию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о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соблюдении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требований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области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предотвращения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борьбы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отмыванием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денег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финансированием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терроризма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обобщенную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информацию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о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сообщениях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о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подозрительных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сделках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факторах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связанных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отмыванием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денег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финансированием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терроризма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.";</w:t>
      </w:r>
    </w:p>
    <w:p w14:paraId="5A9BFE23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1.11.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42</w:t>
      </w:r>
      <w:r w:rsidRPr="00220423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содержания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2D715C02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42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Комитет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необходимости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надлежащее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участие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функций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внутреннего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контроля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других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соответствующих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функций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(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кадровых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юридических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финансовых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других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зависимости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обстоятельств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)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конкретных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областях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компетенции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и/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запрашивать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консультации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внешних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специалистов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.";</w:t>
      </w:r>
    </w:p>
    <w:p w14:paraId="70E383A7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1.12.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43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подпунктами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7) и 8)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содержания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633E9015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"7)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информировать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оказывать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поддержку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совету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вопросах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мониторинга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аппетита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к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реализации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стратегии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подвергается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может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быть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подвержен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принимая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внимание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все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виды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обеспечивать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бизнес-стратегии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целям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культуре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корпоративным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ценностям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722A5D8D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8)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оказывать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помощь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совету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контроле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процессом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внедрения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стратегии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установленных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лимитов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.";</w:t>
      </w:r>
    </w:p>
    <w:p w14:paraId="5E53E7F3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1.13.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44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текстом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включая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периодическое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общение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функциями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внутреннего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контроля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";</w:t>
      </w:r>
    </w:p>
    <w:p w14:paraId="53F64DB0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1.14.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44</w:t>
      </w:r>
      <w:r w:rsidRPr="00220423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содержания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2B0F2ECF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44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Председатель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комитета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быть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независимым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Председатель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комитета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может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быть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председателем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совета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председателем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какого-либо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комитета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числе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случае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объединения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данного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комитета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другими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комитетами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.";</w:t>
      </w:r>
    </w:p>
    <w:p w14:paraId="008374D3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1.15.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47</w:t>
      </w:r>
      <w:r w:rsidRPr="00220423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содержания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4E2569EA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47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Если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комитет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назначениям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был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создан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применяются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положения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23,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оценка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указанная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подпунктах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4) и 5)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47,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проводиться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одного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2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года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."</w:t>
      </w:r>
    </w:p>
    <w:p w14:paraId="0C5D16BF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 xml:space="preserve">1.16.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61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текст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назначен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начальником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координатором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функции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функции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комбинированной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функции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заменить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текстом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наделен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общей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ответственностью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функцию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(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Chief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Risk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Officer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функцию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(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Chief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Compliance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Officer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комбинированную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функцию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";</w:t>
      </w:r>
    </w:p>
    <w:p w14:paraId="6A3E4911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1.17.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74</w:t>
      </w:r>
      <w:r w:rsidRPr="00220423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74</w:t>
      </w:r>
      <w:r w:rsidRPr="00220423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2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содержания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72860D67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74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отсутствие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дискриминации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между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сотрудниками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любому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признаку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включая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возраст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расу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цвет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кожи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этническую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принадлежность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язык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принадлежность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к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национальному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меньшинству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вероисповедание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политические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убеждения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социальное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происхождение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место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жительства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ограниченные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возможности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другим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признакам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связанным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профессиональной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квалификацией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1BBD2EC4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74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2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иметь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способствующую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реинтеграции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сотрудников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после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отпуска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беременности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отпуска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отцовству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уходу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ребенком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.";</w:t>
      </w:r>
    </w:p>
    <w:p w14:paraId="43B7E2E7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1.18.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76:</w:t>
      </w:r>
    </w:p>
    <w:p w14:paraId="00889F9F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1.18.1.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подпункт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2),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культуры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заменить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прочной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культуры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";</w:t>
      </w:r>
    </w:p>
    <w:p w14:paraId="1460593A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1.18.2.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подпункт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3),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после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отмыванию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денег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финансированию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терроризма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";</w:t>
      </w:r>
    </w:p>
    <w:p w14:paraId="4F4BBDF8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1.18.3.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подпункт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4),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после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порядочно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и"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неподкупно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и";</w:t>
      </w:r>
    </w:p>
    <w:p w14:paraId="27C3A567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1.19.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89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предложением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содержания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учитывать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что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конфликты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интересов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могут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возникать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только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результате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текущих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личных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профессиональных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отношений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результате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прошлых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личных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профессиональных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отношений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.";</w:t>
      </w:r>
    </w:p>
    <w:p w14:paraId="17AD3B89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1.20.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90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одного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год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заменить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одного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года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";</w:t>
      </w:r>
    </w:p>
    <w:p w14:paraId="6BD1A573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1.21.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96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подпунктом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6)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содержания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64C50CD5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"6)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установление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обязанности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воздерживаться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голосования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любому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вопросу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у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есть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может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быть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конфликт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интересов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объективность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способность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надлежащим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образом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исполнять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свои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обязанности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перед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могут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быть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скомпрометированы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.";</w:t>
      </w:r>
    </w:p>
    <w:p w14:paraId="768A427C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1.22.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111</w:t>
      </w:r>
      <w:r w:rsidRPr="00220423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-111</w:t>
      </w:r>
      <w:r w:rsidRPr="00220423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15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содержания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31257999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назначения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помимо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требований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указанных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111,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содержать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планирование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преемственности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поощрения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разнообразия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введения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05B6A173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2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формировании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плана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преемственности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преемственность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принятия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решений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допускать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необходимости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ситуации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когда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происходит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одновременная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замена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большого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количества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всех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этих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4A5C7B77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3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Планирование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преемственности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минимум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включать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58F95108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процесс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отбора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назначения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повторного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назначения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планирования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преемственности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функции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6FA680B6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2)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применимую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внутреннюю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процедуру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оценки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пригодности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включая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внутреннюю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функцию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ответственную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оказание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поддержки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оценке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61A4BA08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3)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планы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процессы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реагирования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случаи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неожиданного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отсутствия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ухода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функции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включая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любые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соответствующие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временные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меры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07819EC0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>Планирование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преемственности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учитывать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цели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задачи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определенные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поощрения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разнообразия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12B3D710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4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разработать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реализовать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направленную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поощрение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разнообразия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целью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формирования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разнообразной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членской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базы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быть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направлена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использование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широкого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спектра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качеств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навыков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назначении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/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избрании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разнообразия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взглядов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опыта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содействия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выражению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независимых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мнений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формированию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обоснованного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процесса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принятия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решений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184E33D7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соблюдение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принципа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равных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возможностей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отборе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0B278D56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5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целях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содействия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формированию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разнообразной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кадровой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базы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разработать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поощрения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разнообразия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среди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сотрудников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включать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аспекты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связанные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планированием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карьеры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меры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обеспечению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равного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обращения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возможностей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сотрудников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0765C1A3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6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поощрения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разнообразия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охватывать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минимум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аспекты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связанные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разнообразием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: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образовательный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профессиональный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контекст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возраст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географическое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происхождение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65C22FD4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7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иметь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реализовывать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введения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65B1B8E5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введение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целях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четкого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понимания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законодательства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внутренние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нормы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структуры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бизнес-модели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профиля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системы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деятельностью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роли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каждого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/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6E0F2412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предоставлять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соответствующие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общие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необходимости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индивидуально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разработанные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программы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способствовать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повышению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осведомленности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о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преимуществах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разнообразия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уровне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55E7C28B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8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быть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разработаны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основные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дополнительные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внутренние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нормативные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акты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регулирующие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порядок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введения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руководящих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введения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быть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утверждена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советом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371F4003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9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выделить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достаточные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ресурсы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реализации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программы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введения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руководящего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индивидуальном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уровне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коллективном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уровне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ресурсы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обеспечивать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своим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обязанностям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требованиям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установленным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Регламенте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о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требованиях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к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членам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холдинговых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финансовых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обществ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смешанных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холдинговых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финансовых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обществ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руководителям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отделения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другого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государства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лицам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занимающим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и к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ликвидатору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процессе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ликвидации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утвержденном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Постановлением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Исполнительного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комитета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Национального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Молдовы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№ 292/2018.</w:t>
      </w:r>
    </w:p>
    <w:p w14:paraId="44E7940C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10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Введение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предусматривать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что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каждое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ожидается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будет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предложено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качестве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руководящего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будет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пройти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программу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введения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составляется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представления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>утверждение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Национальный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Молдовы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контексте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части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(5) ст.43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Закона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№ 202/2017.</w:t>
      </w:r>
    </w:p>
    <w:p w14:paraId="03276BDA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11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предусматривать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ежегодное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прохождение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каждым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занимающим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внешней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программы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продолжительностью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менее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40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академических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часов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включать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направлениям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связанным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банковской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деятельностью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включая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пруденциальную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нормативную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базу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корпоративное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выявление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администрирование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механизмы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внутреннего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контроля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т. д.</w:t>
      </w:r>
    </w:p>
    <w:p w14:paraId="1A61355B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12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Основные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дополнительные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внутренние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нормативные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акты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регулирующие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порядок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введения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предусматривать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минимум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1E48AF84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цели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введения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отдельно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исполнительного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совета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Это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включать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цели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введения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предполагающих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определенную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специфику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связанную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конкретными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обязанностями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участием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работе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комитетов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6582220F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2)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обязанности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разработке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подробной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вводной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программы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зависимости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ситуации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4C6181C0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3)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финансовые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ресурсы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предоставляемые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вводных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обучающих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курсов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учетом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количества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вводных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обучающих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сессий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стоимости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любых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связанных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этим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административных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задач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чтобы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возможность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предоставления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вводных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обучающих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курсов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соответствующей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53BB7698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4)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четкий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процесс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рамках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любой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могут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запросить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59C188DF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13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разработке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введения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руководящий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комитет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назначениям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если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таковой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создан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учитывать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вклад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отдела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кадров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отдела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ответственного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бюджетирование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организацию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вводных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учебных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курсов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соответствующих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внутреннего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контроля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если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это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необходимо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70ACC32D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иметь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процесс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определения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областей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требующих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членов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руководящих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занимающих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ключевые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индивидуальном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уровне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необходимости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коллективном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уровне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Соответствующие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подразделения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внутренние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функции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включая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функции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внутреннего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контроля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необходимости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привлекаться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к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разработке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содержания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программ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вводного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инструктажа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2EC89254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14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введения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персонала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обновляться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зависимости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изменений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структуре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стратегических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изменений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новых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продуктов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изменений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соответствующем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законодательстве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тенденций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рынке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других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изменений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считает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важными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контексте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настоящей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5FA27974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15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быть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внедрен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процесс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обеспечивающий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оценку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предлагаемых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программ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введения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соблюдение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процедур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касающихся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введения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.";</w:t>
      </w:r>
    </w:p>
    <w:p w14:paraId="771A4848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1.23.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112,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после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располагать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оплаты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труда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,"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гендерно-нейтральной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,";</w:t>
      </w:r>
    </w:p>
    <w:p w14:paraId="4653D6A3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1.24.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112</w:t>
      </w:r>
      <w:r w:rsidRPr="00220423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содержания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195DF506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112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Гендерно-нейтральная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оплаты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труда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обеспечивать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гендерную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нейтральность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всех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аспектов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этой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включая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условия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>предоставления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выплаты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вознаграждения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иметь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возможность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продемонстрировать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гендерную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нейтральность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своей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оплаты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труда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.";</w:t>
      </w:r>
    </w:p>
    <w:p w14:paraId="448D976F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1.25.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124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текстом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анализу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учитывают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стимулы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предлагаемые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практикой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оплаты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труда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капитал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ликвидность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вероятность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сроки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прибыли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";</w:t>
      </w:r>
    </w:p>
    <w:p w14:paraId="06F75645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1.26.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подпункт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7)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160:</w:t>
      </w:r>
    </w:p>
    <w:p w14:paraId="59B5397B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1.26.1.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b),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второй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пропуск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изложить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редакции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186B082A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"b) -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дебиторов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выдал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кредиты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финансовый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лизинг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общий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баланс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должнику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превышает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лимитов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установленных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подпункте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h)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9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Регламента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о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классификации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активов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условных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обязательств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утвержденного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Решением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Национального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Молдовы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№ 231/2011.";</w:t>
      </w:r>
    </w:p>
    <w:p w14:paraId="5D24FCFC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1.26.2.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после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накопленная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у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дебитора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текстом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"и/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из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других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надежных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независимых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источников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";</w:t>
      </w:r>
    </w:p>
    <w:p w14:paraId="6F0A458E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1.27.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228,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понимании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заменить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понимании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целостном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взгляде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"";</w:t>
      </w:r>
    </w:p>
    <w:p w14:paraId="781B5C02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1.28.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229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изложить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редакции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4CA5A9A5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229.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развивать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культуру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риск-ориентированности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посредством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политик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примеров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коммуникации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персонала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отношении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деятельности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стратегии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профиля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адаптировать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коммуникацию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обучение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персонала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учетом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ответственности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персонала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принятие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.";</w:t>
      </w:r>
    </w:p>
    <w:p w14:paraId="0A69EE98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1.29.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подпункте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2)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232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рискованным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поведением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заменить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словами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поведением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принятию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";</w:t>
      </w:r>
    </w:p>
    <w:p w14:paraId="1CF2F3EB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1.30.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233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текстом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к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связанному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соблюдением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требования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предотвращению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борьбе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отмыванием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денег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финансированием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терроризма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другими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финансовыми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преступлениями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и к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стратегическому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.";</w:t>
      </w:r>
    </w:p>
    <w:p w14:paraId="2F8448C7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1.31.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241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подпунктами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11) – 13)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содержания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00E8BBEF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"11)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информационные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системы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соответствующая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инфраструктура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данных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подробная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достаточно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детализированная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поддержки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процесса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кредитования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мониторинга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кредитного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протяжении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всего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жизненного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цикла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кредитных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средств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(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например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инициирование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кредитов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оценка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кредитоспособности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оценка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анализ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мониторинг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кредитов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),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точное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своевременное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выявление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агрегирование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представление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информации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о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кредитных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постоянной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основе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7B7E77CB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12)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процессы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процедуры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выявлению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оценке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отмывания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денег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финансирования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терроризма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подвергаются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результате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своей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кредитной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деятельности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3DC69AE3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13)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всеобъемлющее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определение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операций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использованием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эффекта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рычага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учитывающее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уровень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эффекта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рычага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заемщика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цель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операции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охватывающее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все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деятельности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подразделения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подверженные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кредитному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.";</w:t>
      </w:r>
    </w:p>
    <w:p w14:paraId="0730CA50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1.32.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241</w:t>
      </w:r>
      <w:r w:rsidRPr="00220423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содержания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75CE1C5A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241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использовании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технологических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инноваций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целях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предоставления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кредитов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7F2298DC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надлежащим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образом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покрывать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связанные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использованием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технологических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инноваций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посредством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первичных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вторичных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внутренних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правил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внутреннего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контроля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системы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управления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Это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быть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соразмерно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бизнес-модели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подверженности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кредитному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сложности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методов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степени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использования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технологических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инноваций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6D4F2CFA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 xml:space="preserve">2)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чтобы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руководящий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орган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достаточно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хорошо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понимал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использовать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инновации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технологической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составляющей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каковы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ограничения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какое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влияние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они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оказывают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процедуры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кредитования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117D52CE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3)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понимать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используемые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базовые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модели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включая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возможности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допущения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ограничения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обеспечивать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прослеживаемость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проверяемость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надежность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устойчивость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0FDE768A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4)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убедиться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что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модели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адаптированы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к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цели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они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были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созданы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учетом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выявленных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задач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других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критериев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эффективность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использование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Если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использование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моделей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требует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пояснений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рассмотреть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возможность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разработки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интерпретируемой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модели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64764D78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5)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понимать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качество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данных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входных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данных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связанных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моделью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выявлять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предотвращать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систематические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ошибки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процессе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принятия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решений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кредитам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обеспечивая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наличие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надлежащих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мер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защиты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конфиденциальности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целостности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доступности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информации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систем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2986DD6C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6)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постоянный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мониторинг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эффективности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модели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включая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достоверность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качество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ее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результатов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принятие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надлежащих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мер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исправлению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ситуации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случае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выявления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проблем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.";</w:t>
      </w:r>
    </w:p>
    <w:p w14:paraId="35E93022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1.33.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247</w:t>
      </w:r>
      <w:r w:rsidRPr="00220423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– 247</w:t>
      </w:r>
      <w:r w:rsidRPr="00220423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5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следующего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содержания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4DE84F29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247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иметь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первичные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вторичные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внутренние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правила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мониторинга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залогового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проверки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что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такое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является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остается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исполнимым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реализуемым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правила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определять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методы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мониторинга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являются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разумными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соразмерными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типом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потенциальной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стоимостью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залогового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которые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использоваться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специалистом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подразделении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ответственном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мониторинг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залогового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использование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статистических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моделей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каждого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типа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залогового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чтобы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подходы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были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согласованы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кредитными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договорами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соответствовали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первичным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вторичным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внутренним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правилам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отношении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кредитного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риска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6431A452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247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2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должен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установить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первичных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вторичных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внутренних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правилах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критерии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использования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статистических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моделей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оценки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переоценки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мониторинга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стоимости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залогового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правила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учитывать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доказанную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эффективность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этих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моделей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специфические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переменные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соответствующих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объектов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недвижимости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использование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минимальной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доступной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точной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информации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неопределенность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моделей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5F79C21E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247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3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чтобы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используемые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статистические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модели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были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5D18DB0E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специфичными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недвижимости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местоположения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достаточном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уровне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детализации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1D987FFB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2)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действительными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точными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подвергаются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периодическим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тщательным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экспост-тестированиям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сопоставлении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реальными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ценами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наблюдаемыми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сделках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7E727621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3)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основанными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достаточно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большой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репрезентативной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выборке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ценах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наблюдаемых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сделках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082AC7CD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4)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основанными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актуальных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данных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высокого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качества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6C3FC808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247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4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использовании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статистических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моделей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несут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окончательную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ответственность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адекватность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эффективность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моделей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оценщик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остается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ответственным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оценку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проведенную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использованием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статистической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модели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понимать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методологию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входные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данные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допущения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используемых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моделей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актуальность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документации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моделям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65E9BC76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lastRenderedPageBreak/>
        <w:t>247</w:t>
      </w:r>
      <w:r w:rsidRPr="00220423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5</w:t>
      </w: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должны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располагать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надлежащими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процессами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системами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ИТ-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возможностями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а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также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достаточными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точными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данными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для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проведения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оценки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основе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статистических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моделей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или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переоценки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залогового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обеспечения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.";</w:t>
      </w:r>
    </w:p>
    <w:p w14:paraId="52EFE7E3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1.34.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387</w:t>
      </w:r>
      <w:r w:rsidRPr="00220423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8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текст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русском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языке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остается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без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изменений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589FD451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1.35.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389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текстом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Указанные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отчеты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будут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передаваться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через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веб-портал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Информационной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системы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Национального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Молдовы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лицензированию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авторизации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уведомлению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Руководством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использованию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веб-портала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Информационной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системы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Национального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Молдовы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лицензированию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авторизации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уведомлению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.";</w:t>
      </w:r>
    </w:p>
    <w:p w14:paraId="06A11400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1.36.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пункте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390,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после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текста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ежегодно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Национальному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Молдовы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"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дополнить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текстом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"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через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веб-портал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информационной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системы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Национального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Молдовы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вопросам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лицензирования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авторизации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уведомления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соответствии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Руководством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использованию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веб-портала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информационной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системы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Национального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банка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Молдовы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вопросам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лицензирования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авторизации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и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уведомления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,".</w:t>
      </w:r>
    </w:p>
    <w:p w14:paraId="6C88FF0B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5EAD27EE" w14:textId="77777777" w:rsidR="00220423" w:rsidRPr="00220423" w:rsidRDefault="00220423" w:rsidP="0022042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220423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2.</w:t>
      </w:r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Настоящее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постановление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вступает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силу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по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истечении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5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месяцев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с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даты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опубликования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в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Официальном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мониторе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Республики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Молдова</w:t>
      </w:r>
      <w:proofErr w:type="spellEnd"/>
      <w:r w:rsidRPr="00220423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7"/>
        <w:gridCol w:w="1991"/>
      </w:tblGrid>
      <w:tr w:rsidR="00220423" w:rsidRPr="00220423" w14:paraId="7FB3D174" w14:textId="77777777" w:rsidTr="002204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33E1B4B2" w14:textId="77777777" w:rsidR="00220423" w:rsidRPr="00220423" w:rsidRDefault="00220423" w:rsidP="00220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22042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DE555" w14:textId="77777777" w:rsidR="00220423" w:rsidRPr="00220423" w:rsidRDefault="00220423" w:rsidP="00220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</w:tr>
      <w:tr w:rsidR="00220423" w:rsidRPr="00220423" w14:paraId="2069E651" w14:textId="77777777" w:rsidTr="002204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30775EC8" w14:textId="77777777" w:rsidR="00220423" w:rsidRPr="00220423" w:rsidRDefault="00220423" w:rsidP="00220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22042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7BDA12" w14:textId="77777777" w:rsidR="00220423" w:rsidRPr="00220423" w:rsidRDefault="00220423" w:rsidP="00220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proofErr w:type="spellStart"/>
            <w:r w:rsidRPr="0022042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Анка-Дана</w:t>
            </w:r>
            <w:proofErr w:type="spellEnd"/>
            <w:r w:rsidRPr="0022042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ДРАГУ</w:t>
            </w:r>
          </w:p>
        </w:tc>
      </w:tr>
      <w:tr w:rsidR="00220423" w:rsidRPr="00220423" w14:paraId="62621BC1" w14:textId="77777777" w:rsidTr="0022042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19B57BFB" w14:textId="77777777" w:rsidR="00220423" w:rsidRPr="00220423" w:rsidRDefault="00220423" w:rsidP="00220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22042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№ 219. </w:t>
            </w:r>
            <w:proofErr w:type="spellStart"/>
            <w:r w:rsidRPr="0022042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Кишинэу</w:t>
            </w:r>
            <w:proofErr w:type="spellEnd"/>
            <w:r w:rsidRPr="0022042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, 25 </w:t>
            </w:r>
            <w:proofErr w:type="spellStart"/>
            <w:r w:rsidRPr="0022042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сентября</w:t>
            </w:r>
            <w:proofErr w:type="spellEnd"/>
            <w:r w:rsidRPr="0022042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2025 г.</w:t>
            </w:r>
          </w:p>
        </w:tc>
      </w:tr>
    </w:tbl>
    <w:p w14:paraId="036E8DD8" w14:textId="77777777" w:rsidR="00860578" w:rsidRDefault="00860578"/>
    <w:sectPr w:rsidR="0086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E4"/>
    <w:rsid w:val="00220423"/>
    <w:rsid w:val="00222FD7"/>
    <w:rsid w:val="003A4DF9"/>
    <w:rsid w:val="00432DE4"/>
    <w:rsid w:val="004A20FB"/>
    <w:rsid w:val="00860578"/>
    <w:rsid w:val="00B3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F7A3"/>
  <w15:chartTrackingRefBased/>
  <w15:docId w15:val="{97B6E4BF-7357-4D8E-A0D2-9322DACE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D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D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D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D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D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3874</Words>
  <Characters>22473</Characters>
  <Application>Microsoft Office Word</Application>
  <DocSecurity>0</DocSecurity>
  <Lines>187</Lines>
  <Paragraphs>52</Paragraphs>
  <ScaleCrop>false</ScaleCrop>
  <Company/>
  <LinksUpToDate>false</LinksUpToDate>
  <CharactersWithSpaces>26295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2025-10-17T06:04:00Z</dcterms:created>
  <dcterms:modified xsi:type="dcterms:W3CDTF">2025-10-17T06:11:00Z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2025-10-17T06:04:39Z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4e80f78f-343d-407f-b9b0-2202d4a430de</vt:lpwstr>
  </property>
  <property fmtid="{D5CDD505-2E9C-101B-9397-08002B2CF9AE}" pid="8" name="MSIP_Label_38962dcf-d39f-4edc-a396-338a56ba9170_ContentBits">
    <vt:lpwstr>0</vt:lpwstr>
  </property>
</Properties>
</file>