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8D28" w14:textId="77777777" w:rsidR="00CC7F98" w:rsidRPr="00D56D85" w:rsidRDefault="00CC7F98" w:rsidP="00CC7F98">
      <w:pPr>
        <w:widowControl w:val="0"/>
        <w:spacing w:after="0" w:line="240" w:lineRule="auto"/>
        <w:jc w:val="center"/>
        <w:rPr>
          <w:rFonts w:ascii="PermianSerifTypeface" w:eastAsia="Courier New" w:hAnsi="PermianSerifTypeface" w:cs="Times New Roman"/>
          <w:b/>
          <w:bCs/>
          <w:color w:val="000000"/>
          <w:lang w:val="ro-RO" w:eastAsia="ro-RO"/>
        </w:rPr>
      </w:pPr>
      <w:r w:rsidRPr="00D56D85">
        <w:rPr>
          <w:rFonts w:ascii="PermianSerifTypeface" w:eastAsia="Courier New" w:hAnsi="PermianSerifTypeface" w:cs="Times New Roman"/>
          <w:b/>
          <w:bCs/>
          <w:color w:val="000000"/>
          <w:lang w:val="ro-RO" w:eastAsia="ro-RO"/>
        </w:rPr>
        <w:t>BANCA NAȚIONALĂ A MOLDOVEI</w:t>
      </w:r>
    </w:p>
    <w:p w14:paraId="0413B29A" w14:textId="31CD8DB3" w:rsidR="00CC7F98" w:rsidRPr="00D56D85" w:rsidRDefault="00CC7F98" w:rsidP="00D56D85">
      <w:pPr>
        <w:widowControl w:val="0"/>
        <w:spacing w:after="0" w:line="240" w:lineRule="auto"/>
        <w:jc w:val="center"/>
        <w:rPr>
          <w:rFonts w:ascii="PermianSerifTypeface" w:eastAsia="Times New Roman" w:hAnsi="PermianSerifTypeface" w:cs="Times New Roman"/>
          <w:bCs/>
          <w:color w:val="000000"/>
          <w:lang w:val="ro-RO"/>
        </w:rPr>
      </w:pPr>
      <w:r w:rsidRPr="00D56D85">
        <w:rPr>
          <w:rFonts w:ascii="PermianSerifTypeface" w:eastAsia="Courier New" w:hAnsi="PermianSerifTypeface" w:cs="Times New Roman"/>
          <w:b/>
          <w:bCs/>
          <w:color w:val="000000"/>
          <w:lang w:val="ro-RO" w:eastAsia="ro-RO"/>
        </w:rPr>
        <w:t>COMITETUL EXECUTIV</w:t>
      </w:r>
      <w:r w:rsidRPr="00D56D85">
        <w:rPr>
          <w:rFonts w:ascii="PermianSerifTypeface" w:eastAsia="Courier New" w:hAnsi="PermianSerifTypeface" w:cs="Times New Roman"/>
          <w:b/>
          <w:bCs/>
          <w:color w:val="000000"/>
          <w:lang w:val="ro-RO" w:eastAsia="ro-RO"/>
        </w:rPr>
        <w:br/>
      </w:r>
    </w:p>
    <w:p w14:paraId="4A90F019" w14:textId="6AF28370" w:rsidR="00D56D85" w:rsidRPr="00D56D85" w:rsidRDefault="00DA12C8" w:rsidP="00DA12C8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HOTĂRÂREA</w:t>
      </w:r>
      <w:r w:rsidR="00D56D85"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</w:t>
      </w:r>
      <w:r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nr. </w:t>
      </w:r>
      <w:r w:rsidR="00D56D85"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177</w:t>
      </w:r>
    </w:p>
    <w:p w14:paraId="4FBB4E1C" w14:textId="74A956E5" w:rsidR="00DA12C8" w:rsidRPr="00D56D85" w:rsidRDefault="00DA12C8" w:rsidP="00DA12C8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din </w:t>
      </w:r>
      <w:r w:rsidR="00D56D85"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30 iulie</w:t>
      </w:r>
      <w:r w:rsidRPr="00D56D85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2020</w:t>
      </w:r>
    </w:p>
    <w:p w14:paraId="5FB057E5" w14:textId="77777777" w:rsidR="00CC7F98" w:rsidRPr="00D56D85" w:rsidRDefault="00CC7F98" w:rsidP="00CC7F98">
      <w:pPr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bCs/>
          <w:color w:val="000000"/>
          <w:lang w:val="ro-RO"/>
        </w:rPr>
      </w:pPr>
    </w:p>
    <w:p w14:paraId="69255E46" w14:textId="1F778F19" w:rsidR="00D56D85" w:rsidRPr="00D56D85" w:rsidRDefault="00CC7F98" w:rsidP="00CC7F98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</w:pPr>
      <w:r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Cu privire la modificarea Hotărâr</w:t>
      </w:r>
      <w:r w:rsidR="006C290F"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ii</w:t>
      </w:r>
      <w:r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 xml:space="preserve"> Comitetului executiv al Băncii Naționale a Moldovei</w:t>
      </w:r>
    </w:p>
    <w:p w14:paraId="2FD30DEC" w14:textId="48B967F5" w:rsidR="00D56D85" w:rsidRPr="00D56D85" w:rsidRDefault="00CC7F98" w:rsidP="00CC7F98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</w:pPr>
      <w:r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nr.123 din 25 aprilie 2019 „Cu privire la limitele maxime</w:t>
      </w:r>
    </w:p>
    <w:p w14:paraId="3EF0557D" w14:textId="0BD5EC7C" w:rsidR="00D56D85" w:rsidRPr="00D56D85" w:rsidRDefault="00CC7F98" w:rsidP="00CC7F98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</w:pPr>
      <w:r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 xml:space="preserve">ale comisioanelor pentru serviciile prestate de către </w:t>
      </w:r>
    </w:p>
    <w:p w14:paraId="3B3B594A" w14:textId="26FFD08C" w:rsidR="00CC7F98" w:rsidRPr="00D56D85" w:rsidRDefault="00CC7F98" w:rsidP="00CC7F98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</w:pPr>
      <w:r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„</w:t>
      </w:r>
      <w:r w:rsidR="000E092C"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DEPOZITARUL CENTRAL UNIC AL VALORILOR MOBILIARE</w:t>
      </w:r>
      <w:r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” S.A.</w:t>
      </w:r>
      <w:r w:rsidR="005E09D7" w:rsidRPr="00D56D85">
        <w:rPr>
          <w:rFonts w:ascii="PermianSerifTypeface" w:eastAsia="Times New Roman" w:hAnsi="PermianSerifTypeface" w:cs="Times New Roman"/>
          <w:b/>
          <w:color w:val="000000"/>
          <w:lang w:val="ro-RO" w:eastAsia="ro-RO"/>
        </w:rPr>
        <w:t>”</w:t>
      </w:r>
    </w:p>
    <w:p w14:paraId="6EDD2EB7" w14:textId="77777777" w:rsidR="00CC7F98" w:rsidRPr="00D56D85" w:rsidRDefault="00CC7F98" w:rsidP="00CC7F98">
      <w:pPr>
        <w:spacing w:after="0" w:line="240" w:lineRule="auto"/>
        <w:ind w:right="-1"/>
        <w:jc w:val="center"/>
        <w:rPr>
          <w:rFonts w:ascii="PermianSerifTypeface" w:eastAsia="Times New Roman" w:hAnsi="PermianSerifTypeface" w:cs="Times New Roman"/>
          <w:bCs/>
          <w:color w:val="000000"/>
          <w:lang w:val="ro-RO"/>
        </w:rPr>
      </w:pPr>
    </w:p>
    <w:p w14:paraId="36562395" w14:textId="370EF9BB" w:rsidR="00CC7F98" w:rsidRPr="00D56D85" w:rsidRDefault="00CC7F98" w:rsidP="00CC7F98">
      <w:pPr>
        <w:spacing w:after="0" w:line="240" w:lineRule="auto"/>
        <w:ind w:firstLine="426"/>
        <w:jc w:val="both"/>
        <w:rPr>
          <w:rFonts w:ascii="PermianSerifTypeface" w:eastAsia="Times New Roman" w:hAnsi="PermianSerifTypeface" w:cs="Times New Roman"/>
          <w:bCs/>
          <w:color w:val="000000"/>
          <w:lang w:val="ro-RO"/>
        </w:rPr>
      </w:pPr>
      <w:r w:rsidRPr="00D56D85">
        <w:rPr>
          <w:rFonts w:ascii="PermianSerifTypeface" w:eastAsia="Times New Roman" w:hAnsi="PermianSerifTypeface" w:cs="Times New Roman"/>
          <w:bCs/>
          <w:color w:val="000000"/>
          <w:lang w:val="ro-RO"/>
        </w:rPr>
        <w:t>În temeiul art. 5 alin. (1) lit. f), art. 11 alin. (1), art.27 alin. (2) și art. 49</w:t>
      </w:r>
      <w:r w:rsidRPr="00D56D85">
        <w:rPr>
          <w:rFonts w:ascii="PermianSerifTypeface" w:eastAsia="Times New Roman" w:hAnsi="PermianSerifTypeface" w:cs="Times New Roman"/>
          <w:bCs/>
          <w:color w:val="000000"/>
          <w:vertAlign w:val="superscript"/>
          <w:lang w:val="ro-RO"/>
        </w:rPr>
        <w:t>2</w:t>
      </w:r>
      <w:r w:rsidRPr="00D56D85">
        <w:rPr>
          <w:rFonts w:ascii="PermianSerifTypeface" w:eastAsia="Times New Roman" w:hAnsi="PermianSerifTypeface" w:cs="Times New Roman"/>
          <w:bCs/>
          <w:color w:val="000000"/>
          <w:lang w:val="ro-RO"/>
        </w:rPr>
        <w:t xml:space="preserve"> din Legea nr. 548/1995 cu privire la Banca Națională a Moldovei </w:t>
      </w:r>
      <w:r w:rsidRPr="00D56D85">
        <w:rPr>
          <w:rFonts w:ascii="PermianSerifTypeface" w:eastAsia="Batang" w:hAnsi="PermianSerifTypeface" w:cs="Times New Roman"/>
          <w:bCs/>
          <w:lang w:val="ro-RO" w:eastAsia="ru-RU"/>
        </w:rPr>
        <w:t>(republicată în Monitorul Oficial al Republicii Moldova, 2015, nr.297-300, art.544)</w:t>
      </w:r>
      <w:r w:rsidRPr="00D56D85">
        <w:rPr>
          <w:rFonts w:ascii="PermianSerifTypeface" w:eastAsia="Times New Roman" w:hAnsi="PermianSerifTypeface" w:cs="Times New Roman"/>
          <w:bCs/>
          <w:color w:val="000000"/>
          <w:lang w:val="ro-RO"/>
        </w:rPr>
        <w:t>, art. 45 alin. (1) din Legea nr.234/2016 cu privire la Depozitarul central unic al valorilor mobiliare (Monitorul Oficial al Republicii Moldova, 2016, nr. 343-346, art. 711), Comitetul executiv al Băncii Naționale a Moldovei</w:t>
      </w:r>
    </w:p>
    <w:p w14:paraId="219FE3C5" w14:textId="77777777" w:rsidR="00CC7F98" w:rsidRPr="00D56D85" w:rsidRDefault="00CC7F98" w:rsidP="00CC7F98">
      <w:pPr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bCs/>
          <w:color w:val="000000"/>
          <w:lang w:val="ro-RO"/>
        </w:rPr>
      </w:pPr>
    </w:p>
    <w:p w14:paraId="0DF1D1D7" w14:textId="77777777" w:rsidR="00CC7F98" w:rsidRPr="00D56D85" w:rsidRDefault="00CC7F98" w:rsidP="00CC7F98">
      <w:pPr>
        <w:tabs>
          <w:tab w:val="left" w:pos="1134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color w:val="000000"/>
          <w:lang w:val="ro-RO"/>
        </w:rPr>
      </w:pPr>
      <w:r w:rsidRPr="00D56D85">
        <w:rPr>
          <w:rFonts w:ascii="PermianSerifTypeface" w:eastAsia="Times New Roman" w:hAnsi="PermianSerifTypeface" w:cs="Times New Roman"/>
          <w:b/>
          <w:color w:val="000000"/>
          <w:lang w:val="ro-RO"/>
        </w:rPr>
        <w:t>HOTĂRĂŞTE:</w:t>
      </w:r>
    </w:p>
    <w:p w14:paraId="110BCD58" w14:textId="77777777" w:rsidR="00DB023F" w:rsidRPr="00D56D85" w:rsidRDefault="00DB023F" w:rsidP="00CC7F98">
      <w:pPr>
        <w:tabs>
          <w:tab w:val="left" w:pos="1134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Cs/>
          <w:color w:val="000000"/>
          <w:lang w:val="ro-RO"/>
        </w:rPr>
      </w:pPr>
    </w:p>
    <w:p w14:paraId="0CD17134" w14:textId="7D73C4AD" w:rsidR="005E09D7" w:rsidRPr="00D56D85" w:rsidRDefault="00BF3AEF" w:rsidP="00D56D85">
      <w:pPr>
        <w:pStyle w:val="ListParagraph"/>
        <w:numPr>
          <w:ilvl w:val="0"/>
          <w:numId w:val="1"/>
        </w:numPr>
        <w:ind w:left="0" w:firstLine="426"/>
        <w:jc w:val="both"/>
        <w:rPr>
          <w:rFonts w:ascii="PermianSerifTypeface" w:hAnsi="PermianSerifTypeface"/>
          <w:lang w:val="ro-RO"/>
        </w:rPr>
      </w:pPr>
      <w:r w:rsidRPr="00D56D85">
        <w:rPr>
          <w:rFonts w:ascii="PermianSerifTypeface" w:hAnsi="PermianSerifTypeface"/>
          <w:lang w:val="ro-RO"/>
        </w:rPr>
        <w:t xml:space="preserve">În </w:t>
      </w:r>
      <w:r w:rsidR="00C309C6" w:rsidRPr="00D56D85">
        <w:rPr>
          <w:rFonts w:ascii="PermianSerifTypeface" w:hAnsi="PermianSerifTypeface"/>
          <w:lang w:val="ro-RO"/>
        </w:rPr>
        <w:t xml:space="preserve">Secțiunea </w:t>
      </w:r>
      <w:r w:rsidR="00790964" w:rsidRPr="00D56D85">
        <w:rPr>
          <w:rFonts w:ascii="PermianSerifTypeface" w:hAnsi="PermianSerifTypeface"/>
          <w:lang w:val="ro-RO"/>
        </w:rPr>
        <w:t>10</w:t>
      </w:r>
      <w:r w:rsidR="00C309C6" w:rsidRPr="00D56D85">
        <w:rPr>
          <w:rFonts w:ascii="PermianSerifTypeface" w:hAnsi="PermianSerifTypeface"/>
          <w:lang w:val="ro-RO"/>
        </w:rPr>
        <w:t xml:space="preserve"> din a</w:t>
      </w:r>
      <w:r w:rsidR="00930DE3" w:rsidRPr="00D56D85">
        <w:rPr>
          <w:rFonts w:ascii="PermianSerifTypeface" w:hAnsi="PermianSerifTypeface"/>
          <w:lang w:val="ro-RO"/>
        </w:rPr>
        <w:t xml:space="preserve">nexa la </w:t>
      </w:r>
      <w:r w:rsidR="005E09D7" w:rsidRPr="00D56D85">
        <w:rPr>
          <w:rFonts w:ascii="PermianSerifTypeface" w:hAnsi="PermianSerifTypeface"/>
          <w:lang w:val="ro-RO"/>
        </w:rPr>
        <w:t>Hotărârea Comitetului executiv al Băncii Naționale a Moldovei nr.123 din 25 aprilie 2019 „Cu privire la limitele maxime ale comisioanelor pentru serviciile prestate de către „</w:t>
      </w:r>
      <w:r w:rsidR="000E092C" w:rsidRPr="00D56D85">
        <w:rPr>
          <w:rFonts w:ascii="PermianSerifTypeface" w:hAnsi="PermianSerifTypeface"/>
          <w:lang w:val="ro-RO"/>
        </w:rPr>
        <w:t>DEPOZITARUL CENTRAL UNIC AL VALORILOR MOBILIARE</w:t>
      </w:r>
      <w:r w:rsidR="005E09D7" w:rsidRPr="00D56D85">
        <w:rPr>
          <w:rFonts w:ascii="PermianSerifTypeface" w:hAnsi="PermianSerifTypeface"/>
          <w:lang w:val="ro-RO"/>
        </w:rPr>
        <w:t>” S.A.”</w:t>
      </w:r>
      <w:r w:rsidR="002F1A4D" w:rsidRPr="00D56D85">
        <w:rPr>
          <w:rFonts w:ascii="PermianSerifTypeface" w:hAnsi="PermianSerifTypeface"/>
          <w:lang w:val="ro-RO"/>
        </w:rPr>
        <w:t xml:space="preserve"> punctele 10.1 și 10.2 vor avea următorul cuprins</w:t>
      </w:r>
      <w:r w:rsidR="00930DE3" w:rsidRPr="00D56D85">
        <w:rPr>
          <w:rFonts w:ascii="PermianSerifTypeface" w:hAnsi="PermianSerifTypeface"/>
          <w:lang w:val="ro-RO"/>
        </w:rPr>
        <w:t>:</w:t>
      </w:r>
    </w:p>
    <w:p w14:paraId="590E6FDA" w14:textId="18293303" w:rsidR="00AD5DA1" w:rsidRPr="00D56D85" w:rsidRDefault="00AD5DA1" w:rsidP="00D56D85">
      <w:pPr>
        <w:spacing w:after="0"/>
        <w:ind w:firstLine="426"/>
        <w:jc w:val="both"/>
        <w:rPr>
          <w:rFonts w:ascii="PermianSerifTypeface" w:hAnsi="PermianSerifTypeface"/>
          <w:lang w:val="ro-RO"/>
        </w:rPr>
      </w:pPr>
      <w:r w:rsidRPr="00D56D85">
        <w:rPr>
          <w:rFonts w:ascii="PermianSerifTypeface" w:hAnsi="PermianSerifTypeface"/>
          <w:lang w:val="ro-RO"/>
        </w:rPr>
        <w:t>„10.1. Comision</w:t>
      </w:r>
      <w:r w:rsidRPr="00D56D85">
        <w:rPr>
          <w:rFonts w:ascii="PermianSerifTypeface" w:hAnsi="PermianSerifTypeface" w:cs="Times New Roman"/>
          <w:color w:val="000000" w:themeColor="text1"/>
          <w:lang w:val="ro-RO"/>
        </w:rPr>
        <w:t xml:space="preserve"> pentru </w:t>
      </w:r>
      <w:r w:rsidR="00D56D85" w:rsidRPr="00D56D85">
        <w:rPr>
          <w:rFonts w:ascii="PermianSerifTypeface" w:hAnsi="PermianSerifTypeface" w:cs="Times New Roman"/>
          <w:color w:val="000000" w:themeColor="text1"/>
          <w:lang w:val="ro-RO"/>
        </w:rPr>
        <w:t xml:space="preserve">ținerea evidenței acționarilor în Sistemul Depozitarului central și </w:t>
      </w:r>
      <w:r w:rsidRPr="00D56D85">
        <w:rPr>
          <w:rFonts w:ascii="PermianSerifTypeface" w:hAnsi="PermianSerifTypeface" w:cs="Times New Roman"/>
          <w:color w:val="000000" w:themeColor="text1"/>
          <w:lang w:val="ro-RO"/>
        </w:rPr>
        <w:t>eliberarea listei acționarilor</w:t>
      </w:r>
      <w:r w:rsidR="00BC6B61" w:rsidRPr="00D56D85">
        <w:rPr>
          <w:rFonts w:ascii="PermianSerifTypeface" w:hAnsi="PermianSerifTypeface" w:cs="Times New Roman"/>
          <w:color w:val="000000" w:themeColor="text1"/>
          <w:lang w:val="ro-RO"/>
        </w:rPr>
        <w:t xml:space="preserve"> pentru</w:t>
      </w:r>
      <w:r w:rsidRPr="00D56D85">
        <w:rPr>
          <w:rFonts w:ascii="PermianSerifTypeface" w:hAnsi="PermianSerifTypeface" w:cs="Times New Roman"/>
          <w:color w:val="000000" w:themeColor="text1"/>
          <w:lang w:val="ro-RO"/>
        </w:rPr>
        <w:t xml:space="preserve"> adunarea generală ordinară anuală a acționarilor</w:t>
      </w:r>
    </w:p>
    <w:p w14:paraId="2806F2E3" w14:textId="77777777" w:rsidR="00AD5DA1" w:rsidRPr="00D56D85" w:rsidRDefault="00AD5DA1" w:rsidP="003231BF">
      <w:pPr>
        <w:pStyle w:val="ListParagraph"/>
        <w:numPr>
          <w:ilvl w:val="0"/>
          <w:numId w:val="8"/>
        </w:numPr>
        <w:spacing w:before="120"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>Comisionul se stabilește în funcție de numărul de acționari, după cum urmează:</w:t>
      </w:r>
    </w:p>
    <w:tbl>
      <w:tblPr>
        <w:tblStyle w:val="TableGrid"/>
        <w:tblW w:w="8336" w:type="dxa"/>
        <w:tblInd w:w="1157" w:type="dxa"/>
        <w:tblLook w:val="04A0" w:firstRow="1" w:lastRow="0" w:firstColumn="1" w:lastColumn="0" w:noHBand="0" w:noVBand="1"/>
      </w:tblPr>
      <w:tblGrid>
        <w:gridCol w:w="3651"/>
        <w:gridCol w:w="4685"/>
      </w:tblGrid>
      <w:tr w:rsidR="00AD5DA1" w:rsidRPr="00D56D85" w14:paraId="14C26E29" w14:textId="77777777" w:rsidTr="00806057">
        <w:tc>
          <w:tcPr>
            <w:tcW w:w="3651" w:type="dxa"/>
            <w:shd w:val="clear" w:color="auto" w:fill="D9D9D9" w:themeFill="background1" w:themeFillShade="D9"/>
          </w:tcPr>
          <w:p w14:paraId="08431747" w14:textId="0F85589F" w:rsidR="00AD5DA1" w:rsidRPr="00D56D85" w:rsidRDefault="00AD5DA1" w:rsidP="00CB1D13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b/>
                <w:bCs/>
                <w:sz w:val="22"/>
                <w:szCs w:val="22"/>
              </w:rPr>
              <w:t>Numărul de acționari</w:t>
            </w:r>
          </w:p>
        </w:tc>
        <w:tc>
          <w:tcPr>
            <w:tcW w:w="4685" w:type="dxa"/>
            <w:shd w:val="clear" w:color="auto" w:fill="D9D9D9" w:themeFill="background1" w:themeFillShade="D9"/>
          </w:tcPr>
          <w:p w14:paraId="10E0A263" w14:textId="75627D68" w:rsidR="00AD5DA1" w:rsidRPr="00D56D85" w:rsidRDefault="00AD5DA1" w:rsidP="00CB1D13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b/>
                <w:bCs/>
                <w:sz w:val="22"/>
                <w:szCs w:val="22"/>
              </w:rPr>
              <w:t>Comision, lei</w:t>
            </w:r>
          </w:p>
        </w:tc>
      </w:tr>
      <w:tr w:rsidR="00D56D85" w:rsidRPr="00D56D85" w14:paraId="7B34F5F3" w14:textId="77777777" w:rsidTr="00D56D85">
        <w:tc>
          <w:tcPr>
            <w:tcW w:w="3651" w:type="dxa"/>
            <w:shd w:val="clear" w:color="auto" w:fill="auto"/>
          </w:tcPr>
          <w:p w14:paraId="5D05E2CE" w14:textId="3321C778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b/>
                <w:bCs/>
                <w:lang w:val="ro-MD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 xml:space="preserve">până la 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1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00 acționari</w:t>
            </w:r>
          </w:p>
        </w:tc>
        <w:tc>
          <w:tcPr>
            <w:tcW w:w="4685" w:type="dxa"/>
            <w:shd w:val="clear" w:color="auto" w:fill="auto"/>
          </w:tcPr>
          <w:p w14:paraId="45DAEFF9" w14:textId="564D6103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b/>
                <w:bCs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1900</w:t>
            </w:r>
          </w:p>
        </w:tc>
      </w:tr>
      <w:tr w:rsidR="00D56D85" w:rsidRPr="00D56D85" w14:paraId="3DE4B10A" w14:textId="77777777" w:rsidTr="00D56D85">
        <w:tc>
          <w:tcPr>
            <w:tcW w:w="3651" w:type="dxa"/>
            <w:shd w:val="clear" w:color="auto" w:fill="auto"/>
          </w:tcPr>
          <w:p w14:paraId="20C9CEF4" w14:textId="092CE888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b/>
                <w:bCs/>
                <w:lang w:val="ro-MD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 xml:space="preserve">de la 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1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01 până 500 acționari</w:t>
            </w:r>
          </w:p>
        </w:tc>
        <w:tc>
          <w:tcPr>
            <w:tcW w:w="4685" w:type="dxa"/>
            <w:shd w:val="clear" w:color="auto" w:fill="auto"/>
          </w:tcPr>
          <w:p w14:paraId="791536D0" w14:textId="54A38587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b/>
                <w:bCs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2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900</w:t>
            </w:r>
          </w:p>
        </w:tc>
      </w:tr>
      <w:tr w:rsidR="00D56D85" w:rsidRPr="00D56D85" w14:paraId="356D41CE" w14:textId="77777777" w:rsidTr="00806057">
        <w:tc>
          <w:tcPr>
            <w:tcW w:w="3651" w:type="dxa"/>
          </w:tcPr>
          <w:p w14:paraId="0208C53C" w14:textId="5FAE17B7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 xml:space="preserve">de la 501 până 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20</w:t>
            </w:r>
            <w:r w:rsidRPr="00D56D85">
              <w:rPr>
                <w:rFonts w:ascii="PermianSerifTypeface" w:hAnsi="PermianSerifTypeface"/>
                <w:sz w:val="22"/>
                <w:szCs w:val="22"/>
              </w:rPr>
              <w:t>00 acționari</w:t>
            </w:r>
          </w:p>
        </w:tc>
        <w:tc>
          <w:tcPr>
            <w:tcW w:w="4685" w:type="dxa"/>
          </w:tcPr>
          <w:p w14:paraId="258333F7" w14:textId="4AB07EE4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4900</w:t>
            </w:r>
          </w:p>
        </w:tc>
      </w:tr>
      <w:tr w:rsidR="00D56D85" w:rsidRPr="00D56D85" w14:paraId="5857E0CD" w14:textId="77777777" w:rsidTr="00806057">
        <w:tc>
          <w:tcPr>
            <w:tcW w:w="3651" w:type="dxa"/>
          </w:tcPr>
          <w:p w14:paraId="3B8259B9" w14:textId="28B34887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de la 2001 până 5500 acționari</w:t>
            </w:r>
          </w:p>
        </w:tc>
        <w:tc>
          <w:tcPr>
            <w:tcW w:w="4685" w:type="dxa"/>
          </w:tcPr>
          <w:p w14:paraId="12B8D88A" w14:textId="66A0709C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6900</w:t>
            </w:r>
          </w:p>
        </w:tc>
      </w:tr>
      <w:tr w:rsidR="00D56D85" w:rsidRPr="00D56D85" w14:paraId="1A186F1D" w14:textId="77777777" w:rsidTr="00806057">
        <w:tc>
          <w:tcPr>
            <w:tcW w:w="3651" w:type="dxa"/>
          </w:tcPr>
          <w:p w14:paraId="3E57FAEE" w14:textId="5280CB56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De la 5501 acționari</w:t>
            </w:r>
          </w:p>
        </w:tc>
        <w:tc>
          <w:tcPr>
            <w:tcW w:w="4685" w:type="dxa"/>
          </w:tcPr>
          <w:p w14:paraId="504249DC" w14:textId="7AACB5AE" w:rsidR="00D56D85" w:rsidRPr="00D56D85" w:rsidRDefault="00D56D85" w:rsidP="00D56D85">
            <w:pPr>
              <w:pStyle w:val="ListParagraph"/>
              <w:tabs>
                <w:tab w:val="left" w:pos="455"/>
              </w:tabs>
              <w:ind w:left="0"/>
              <w:jc w:val="both"/>
              <w:rPr>
                <w:rFonts w:ascii="PermianSerifTypeface" w:hAnsi="PermianSerifTypeface"/>
                <w:sz w:val="22"/>
                <w:szCs w:val="22"/>
              </w:rPr>
            </w:pPr>
            <w:r w:rsidRPr="00D56D85">
              <w:rPr>
                <w:rFonts w:ascii="PermianSerifTypeface" w:hAnsi="PermianSerifTypeface"/>
                <w:sz w:val="22"/>
                <w:szCs w:val="22"/>
              </w:rPr>
              <w:t>8900</w:t>
            </w:r>
          </w:p>
        </w:tc>
      </w:tr>
    </w:tbl>
    <w:p w14:paraId="4881A415" w14:textId="77777777" w:rsidR="00AD5DA1" w:rsidRPr="00D56D85" w:rsidRDefault="00AD5DA1" w:rsidP="003231BF">
      <w:pPr>
        <w:pStyle w:val="ListParagraph"/>
        <w:numPr>
          <w:ilvl w:val="0"/>
          <w:numId w:val="8"/>
        </w:numPr>
        <w:spacing w:before="120"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>Comisionul include următoarele servicii:</w:t>
      </w:r>
    </w:p>
    <w:p w14:paraId="78985CBA" w14:textId="366E0A2B" w:rsidR="00531D0F" w:rsidRPr="00D56D85" w:rsidRDefault="00531D0F" w:rsidP="003231BF">
      <w:pPr>
        <w:pStyle w:val="ListParagraph"/>
        <w:numPr>
          <w:ilvl w:val="1"/>
          <w:numId w:val="8"/>
        </w:numPr>
        <w:spacing w:after="0" w:line="240" w:lineRule="auto"/>
        <w:ind w:left="0" w:firstLine="993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color w:val="000000" w:themeColor="text1"/>
          <w:lang w:val="ro-RO"/>
        </w:rPr>
        <w:t>ținerea evidenței acționarilor în Sistemul D</w:t>
      </w:r>
      <w:r w:rsidR="003231BF">
        <w:rPr>
          <w:rFonts w:ascii="PermianSerifTypeface" w:hAnsi="PermianSerifTypeface" w:cs="Times New Roman"/>
          <w:color w:val="000000" w:themeColor="text1"/>
          <w:lang w:val="ro-RO"/>
        </w:rPr>
        <w:t>epozitarului central</w:t>
      </w:r>
      <w:r w:rsidRPr="00D56D85">
        <w:rPr>
          <w:rFonts w:ascii="PermianSerifTypeface" w:hAnsi="PermianSerifTypeface" w:cs="Times New Roman"/>
          <w:color w:val="000000" w:themeColor="text1"/>
          <w:lang w:val="ro-RO"/>
        </w:rPr>
        <w:t>;</w:t>
      </w:r>
    </w:p>
    <w:p w14:paraId="61C22D93" w14:textId="77777777" w:rsidR="00D56D85" w:rsidRPr="00D56D85" w:rsidRDefault="00D56D85" w:rsidP="003231BF">
      <w:pPr>
        <w:pStyle w:val="ListParagraph"/>
        <w:numPr>
          <w:ilvl w:val="1"/>
          <w:numId w:val="8"/>
        </w:numPr>
        <w:spacing w:after="0" w:line="240" w:lineRule="auto"/>
        <w:ind w:left="0" w:firstLine="993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>întocmirea și eliberarea listei acționarilor care au dreptul să participe la adunarea generală ordinară anuală a acționarilor;</w:t>
      </w:r>
    </w:p>
    <w:p w14:paraId="56592602" w14:textId="3A8E5B79" w:rsidR="00147E95" w:rsidRPr="00D56D85" w:rsidRDefault="00147E95" w:rsidP="003231BF">
      <w:pPr>
        <w:pStyle w:val="ListParagraph"/>
        <w:numPr>
          <w:ilvl w:val="0"/>
          <w:numId w:val="8"/>
        </w:numPr>
        <w:spacing w:before="120"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 xml:space="preserve">Comisionul se aplică de către Depozitarul central la eliberarea listei acționarilor </w:t>
      </w:r>
      <w:r w:rsidR="00D41F95" w:rsidRPr="00D56D85">
        <w:rPr>
          <w:rFonts w:ascii="PermianSerifTypeface" w:hAnsi="PermianSerifTypeface" w:cs="Times New Roman"/>
          <w:lang w:val="ro-RO"/>
        </w:rPr>
        <w:t>pentru</w:t>
      </w:r>
      <w:r w:rsidRPr="00D56D85">
        <w:rPr>
          <w:rFonts w:ascii="PermianSerifTypeface" w:hAnsi="PermianSerifTypeface" w:cs="Times New Roman"/>
          <w:lang w:val="ro-RO"/>
        </w:rPr>
        <w:t xml:space="preserve"> adunarea generală ordinară anuală a acționarilor</w:t>
      </w:r>
      <w:r w:rsidR="00F23082" w:rsidRPr="00D56D85">
        <w:rPr>
          <w:rFonts w:ascii="PermianSerifTypeface" w:hAnsi="PermianSerifTypeface" w:cs="Times New Roman"/>
          <w:lang w:val="ro-RO"/>
        </w:rPr>
        <w:t>;</w:t>
      </w:r>
    </w:p>
    <w:p w14:paraId="4D953C5B" w14:textId="02580807" w:rsidR="00771E3D" w:rsidRPr="00D56D85" w:rsidRDefault="00771E3D" w:rsidP="003231BF">
      <w:pPr>
        <w:pStyle w:val="ListParagraph"/>
        <w:numPr>
          <w:ilvl w:val="0"/>
          <w:numId w:val="8"/>
        </w:numPr>
        <w:spacing w:before="120"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 xml:space="preserve">Comisionul nu se aplică în </w:t>
      </w:r>
      <w:r w:rsidR="00F23082" w:rsidRPr="00D56D85">
        <w:rPr>
          <w:rFonts w:ascii="PermianSerifTypeface" w:hAnsi="PermianSerifTypeface" w:cs="Times New Roman"/>
          <w:lang w:val="ro-RO"/>
        </w:rPr>
        <w:t xml:space="preserve">cazul </w:t>
      </w:r>
      <w:r w:rsidRPr="00D56D85">
        <w:rPr>
          <w:rFonts w:ascii="PermianSerifTypeface" w:hAnsi="PermianSerifTypeface" w:cs="Times New Roman"/>
          <w:lang w:val="ro-RO"/>
        </w:rPr>
        <w:t xml:space="preserve">listei cu modificările operate </w:t>
      </w:r>
      <w:r w:rsidR="00D41F95" w:rsidRPr="00D56D85">
        <w:rPr>
          <w:rFonts w:ascii="PermianSerifTypeface" w:hAnsi="PermianSerifTypeface" w:cs="Times New Roman"/>
          <w:lang w:val="ro-RO"/>
        </w:rPr>
        <w:t>până</w:t>
      </w:r>
      <w:r w:rsidRPr="00D56D85">
        <w:rPr>
          <w:rFonts w:ascii="PermianSerifTypeface" w:hAnsi="PermianSerifTypeface" w:cs="Times New Roman"/>
          <w:lang w:val="ro-RO"/>
        </w:rPr>
        <w:t xml:space="preserve"> la data ținerii adunării generale ordinare a acționarilor, pentru care Depozitarul central a întocmit și eliberat o listă a acționarilor</w:t>
      </w:r>
      <w:r w:rsidR="00FD09F4" w:rsidRPr="00D56D85">
        <w:rPr>
          <w:rFonts w:ascii="PermianSerifTypeface" w:hAnsi="PermianSerifTypeface" w:cs="Times New Roman"/>
          <w:lang w:val="ro-RO"/>
        </w:rPr>
        <w:t>.</w:t>
      </w:r>
    </w:p>
    <w:p w14:paraId="10422765" w14:textId="46C55707" w:rsidR="00BC6B61" w:rsidRPr="00D56D85" w:rsidRDefault="00BC6B61" w:rsidP="006560D9">
      <w:pPr>
        <w:spacing w:before="240" w:after="0"/>
        <w:ind w:left="425"/>
        <w:jc w:val="both"/>
        <w:rPr>
          <w:rFonts w:ascii="PermianSerifTypeface" w:hAnsi="PermianSerifTypeface"/>
          <w:lang w:val="ro-RO"/>
        </w:rPr>
      </w:pPr>
      <w:r w:rsidRPr="00D56D85">
        <w:rPr>
          <w:rFonts w:ascii="PermianSerifTypeface" w:hAnsi="PermianSerifTypeface"/>
          <w:lang w:val="ro-RO"/>
        </w:rPr>
        <w:t>10.</w:t>
      </w:r>
      <w:r w:rsidR="00545938" w:rsidRPr="00D56D85">
        <w:rPr>
          <w:rFonts w:ascii="PermianSerifTypeface" w:hAnsi="PermianSerifTypeface"/>
          <w:lang w:val="ro-RO"/>
        </w:rPr>
        <w:t>2</w:t>
      </w:r>
      <w:r w:rsidRPr="00D56D85">
        <w:rPr>
          <w:rFonts w:ascii="PermianSerifTypeface" w:hAnsi="PermianSerifTypeface"/>
          <w:lang w:val="ro-RO"/>
        </w:rPr>
        <w:t>. Comision</w:t>
      </w:r>
      <w:r w:rsidRPr="00D56D85">
        <w:rPr>
          <w:rFonts w:ascii="PermianSerifTypeface" w:hAnsi="PermianSerifTypeface" w:cs="Times New Roman"/>
          <w:color w:val="000000" w:themeColor="text1"/>
          <w:lang w:val="ro-RO"/>
        </w:rPr>
        <w:t xml:space="preserve"> pentru eliberarea listei acționarilor </w:t>
      </w:r>
      <w:r w:rsidR="00602A0A" w:rsidRPr="00D56D85">
        <w:rPr>
          <w:rFonts w:ascii="PermianSerifTypeface" w:hAnsi="PermianSerifTypeface" w:cs="Times New Roman"/>
          <w:color w:val="000000" w:themeColor="text1"/>
          <w:lang w:val="ro-RO"/>
        </w:rPr>
        <w:t>în</w:t>
      </w:r>
      <w:r w:rsidRPr="00D56D85">
        <w:rPr>
          <w:rFonts w:ascii="PermianSerifTypeface" w:hAnsi="PermianSerifTypeface" w:cs="Times New Roman"/>
          <w:color w:val="000000" w:themeColor="text1"/>
          <w:lang w:val="ro-RO"/>
        </w:rPr>
        <w:t xml:space="preserve"> </w:t>
      </w:r>
      <w:r w:rsidR="00545938" w:rsidRPr="00D56D85">
        <w:rPr>
          <w:rFonts w:ascii="PermianSerifTypeface" w:hAnsi="PermianSerifTypeface" w:cs="Times New Roman"/>
          <w:color w:val="000000" w:themeColor="text1"/>
          <w:lang w:val="ro-RO"/>
        </w:rPr>
        <w:t>alte cazuri</w:t>
      </w:r>
    </w:p>
    <w:p w14:paraId="54EE054A" w14:textId="0638AA92" w:rsidR="00BC6B61" w:rsidRPr="00D56D85" w:rsidRDefault="00BC6B61" w:rsidP="00806057">
      <w:pPr>
        <w:pStyle w:val="ListParagraph"/>
        <w:numPr>
          <w:ilvl w:val="0"/>
          <w:numId w:val="11"/>
        </w:numPr>
        <w:spacing w:before="120" w:after="120" w:line="240" w:lineRule="auto"/>
        <w:ind w:left="1134" w:hanging="425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 xml:space="preserve">Comisionul </w:t>
      </w:r>
      <w:r w:rsidR="00EE26C4" w:rsidRPr="00D56D85">
        <w:rPr>
          <w:rFonts w:ascii="PermianSerifTypeface" w:hAnsi="PermianSerifTypeface" w:cs="Times New Roman"/>
          <w:lang w:val="ro-RO"/>
        </w:rPr>
        <w:t>constituie 200 lei</w:t>
      </w:r>
      <w:r w:rsidR="00F23082" w:rsidRPr="00D56D85">
        <w:rPr>
          <w:rFonts w:ascii="PermianSerifTypeface" w:hAnsi="PermianSerifTypeface" w:cs="Times New Roman"/>
          <w:lang w:val="ro-RO"/>
        </w:rPr>
        <w:t>;</w:t>
      </w:r>
    </w:p>
    <w:p w14:paraId="7EDFC602" w14:textId="46F45518" w:rsidR="00EE26C4" w:rsidRPr="00D56D85" w:rsidRDefault="00EE26C4" w:rsidP="00806057">
      <w:pPr>
        <w:pStyle w:val="ListParagraph"/>
        <w:numPr>
          <w:ilvl w:val="0"/>
          <w:numId w:val="11"/>
        </w:numPr>
        <w:spacing w:before="120" w:after="120" w:line="240" w:lineRule="auto"/>
        <w:ind w:left="1134" w:hanging="425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lastRenderedPageBreak/>
        <w:t>Comisionul include serviciile de întocmire și eliberare a listei acționarilor pentru orice alte cazuri, cu excepția întocmirii și eliberării listei acționarilor pentru adunarea generală ordinară a acționarilor</w:t>
      </w:r>
      <w:r w:rsidR="00F23082" w:rsidRPr="00D56D85">
        <w:rPr>
          <w:rFonts w:ascii="PermianSerifTypeface" w:hAnsi="PermianSerifTypeface" w:cs="Times New Roman"/>
          <w:lang w:val="ro-RO"/>
        </w:rPr>
        <w:t>;</w:t>
      </w:r>
    </w:p>
    <w:p w14:paraId="75362DE4" w14:textId="3FCAAF16" w:rsidR="00EE26C4" w:rsidRPr="00D56D85" w:rsidRDefault="00EE26C4" w:rsidP="00806057">
      <w:pPr>
        <w:pStyle w:val="ListParagraph"/>
        <w:numPr>
          <w:ilvl w:val="0"/>
          <w:numId w:val="11"/>
        </w:numPr>
        <w:spacing w:before="120" w:after="120" w:line="240" w:lineRule="auto"/>
        <w:ind w:left="1134" w:hanging="425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D56D85">
        <w:rPr>
          <w:rFonts w:ascii="PermianSerifTypeface" w:hAnsi="PermianSerifTypeface" w:cs="Times New Roman"/>
          <w:lang w:val="ro-RO"/>
        </w:rPr>
        <w:t>Comisionul se aplică separat pentru fiecare listă de acționari întocmită și eliberată de Depozitarul central.</w:t>
      </w:r>
      <w:r w:rsidR="008A3BF7" w:rsidRPr="00D56D85">
        <w:rPr>
          <w:rFonts w:ascii="PermianSerifTypeface" w:hAnsi="PermianSerifTypeface" w:cs="Times New Roman"/>
          <w:lang w:val="ro-RO"/>
        </w:rPr>
        <w:t>”</w:t>
      </w:r>
      <w:r w:rsidR="00851960" w:rsidRPr="00D56D85">
        <w:rPr>
          <w:rFonts w:ascii="PermianSerifTypeface" w:hAnsi="PermianSerifTypeface" w:cs="Times New Roman"/>
          <w:lang w:val="ro-RO"/>
        </w:rPr>
        <w:t>.</w:t>
      </w:r>
    </w:p>
    <w:p w14:paraId="2CC256EC" w14:textId="107C14FD" w:rsidR="00171C65" w:rsidRPr="00D56D85" w:rsidRDefault="00BA6552" w:rsidP="00D56D85">
      <w:pPr>
        <w:pStyle w:val="ListParagraph"/>
        <w:numPr>
          <w:ilvl w:val="0"/>
          <w:numId w:val="1"/>
        </w:numPr>
        <w:ind w:left="0" w:firstLine="426"/>
        <w:jc w:val="both"/>
        <w:rPr>
          <w:rFonts w:ascii="PermianSerifTypeface" w:hAnsi="PermianSerifTypeface"/>
          <w:lang w:val="ro-RO"/>
        </w:rPr>
      </w:pPr>
      <w:r w:rsidRPr="00D56D85">
        <w:rPr>
          <w:rFonts w:ascii="PermianSerifTypeface" w:hAnsi="PermianSerifTypeface"/>
          <w:lang w:val="ro-RO"/>
        </w:rPr>
        <w:t xml:space="preserve">Prezenta hotărâre intră în vigoare la data </w:t>
      </w:r>
      <w:r w:rsidR="004F56CA" w:rsidRPr="00D56D85">
        <w:rPr>
          <w:rFonts w:ascii="PermianSerifTypeface" w:hAnsi="PermianSerifTypeface"/>
          <w:lang w:val="ro-RO"/>
        </w:rPr>
        <w:t>01.08.2020</w:t>
      </w:r>
      <w:r w:rsidR="007D13E7" w:rsidRPr="00D56D85">
        <w:rPr>
          <w:rFonts w:ascii="PermianSerifTypeface" w:hAnsi="PermianSerifTypeface"/>
          <w:lang w:val="ro-RO"/>
        </w:rPr>
        <w:t xml:space="preserve"> și se comunică „Depozitarului Central Unic al Valorilor Mobiliare” S.A..</w:t>
      </w:r>
    </w:p>
    <w:p w14:paraId="6AFFB127" w14:textId="70BF1FDC" w:rsidR="00171C65" w:rsidRPr="00D56D85" w:rsidRDefault="00171C65" w:rsidP="00D56D85">
      <w:pPr>
        <w:pStyle w:val="ListParagraph"/>
        <w:numPr>
          <w:ilvl w:val="0"/>
          <w:numId w:val="1"/>
        </w:numPr>
        <w:ind w:left="0" w:firstLine="426"/>
        <w:jc w:val="both"/>
        <w:rPr>
          <w:rFonts w:ascii="PermianSerifTypeface" w:hAnsi="PermianSerifTypeface"/>
          <w:lang w:val="ro-RO"/>
        </w:rPr>
      </w:pPr>
      <w:r w:rsidRPr="00D56D85">
        <w:rPr>
          <w:rFonts w:ascii="PermianSerifTypeface" w:hAnsi="PermianSerifTypeface"/>
          <w:lang w:val="ro-RO"/>
        </w:rPr>
        <w:t>Controlul executării prezentei hotărâri îl exercit</w:t>
      </w:r>
      <w:r w:rsidR="008B4EF5" w:rsidRPr="00D56D85">
        <w:rPr>
          <w:rFonts w:ascii="PermianSerifTypeface" w:hAnsi="PermianSerifTypeface"/>
          <w:lang w:val="ro-MD"/>
        </w:rPr>
        <w:t>ă</w:t>
      </w:r>
      <w:r w:rsidRPr="00D56D85">
        <w:rPr>
          <w:rFonts w:ascii="PermianSerifTypeface" w:hAnsi="PermianSerifTypeface"/>
          <w:lang w:val="ro-RO"/>
        </w:rPr>
        <w:t xml:space="preserve"> Departamentul sisteme de </w:t>
      </w:r>
      <w:r w:rsidR="003231BF" w:rsidRPr="00D56D85">
        <w:rPr>
          <w:rFonts w:ascii="PermianSerifTypeface" w:hAnsi="PermianSerifTypeface"/>
          <w:lang w:val="ro-RO"/>
        </w:rPr>
        <w:t>plă</w:t>
      </w:r>
      <w:r w:rsidR="003231BF">
        <w:rPr>
          <w:rFonts w:ascii="PermianSerifTypeface" w:hAnsi="PermianSerifTypeface"/>
          <w:lang w:val="ro-RO"/>
        </w:rPr>
        <w:t>ți</w:t>
      </w:r>
      <w:r w:rsidRPr="00D56D85">
        <w:rPr>
          <w:rFonts w:ascii="PermianSerifTypeface" w:hAnsi="PermianSerifTypeface"/>
          <w:lang w:val="ro-RO"/>
        </w:rPr>
        <w:t>.</w:t>
      </w:r>
    </w:p>
    <w:sectPr w:rsidR="00171C65" w:rsidRPr="00D56D85" w:rsidSect="00CC7F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FEF3" w14:textId="77777777" w:rsidR="00035042" w:rsidRDefault="00035042" w:rsidP="00CC7F98">
      <w:pPr>
        <w:spacing w:after="0" w:line="240" w:lineRule="auto"/>
      </w:pPr>
      <w:r>
        <w:separator/>
      </w:r>
    </w:p>
  </w:endnote>
  <w:endnote w:type="continuationSeparator" w:id="0">
    <w:p w14:paraId="43E0A773" w14:textId="77777777" w:rsidR="00035042" w:rsidRDefault="00035042" w:rsidP="00CC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A082" w14:textId="77777777" w:rsidR="00EF0173" w:rsidRDefault="00EF0173" w:rsidP="00EF0173">
    <w:pPr>
      <w:pStyle w:val="Footer"/>
      <w:rPr>
        <w:color w:val="000000"/>
        <w:sz w:val="2"/>
        <w:szCs w:val="12"/>
        <w:lang w:val="fr-FR"/>
      </w:rPr>
    </w:pPr>
  </w:p>
  <w:p w14:paraId="1206CD9C" w14:textId="07D2A0B3" w:rsidR="00CC7F98" w:rsidRPr="006560D9" w:rsidRDefault="00EF0173" w:rsidP="00EF0173">
    <w:pPr>
      <w:pStyle w:val="Footer"/>
      <w:rPr>
        <w:sz w:val="12"/>
        <w:szCs w:val="12"/>
        <w:lang w:val="fr-FR"/>
      </w:rPr>
    </w:pPr>
    <w:r w:rsidRPr="00EF0173">
      <w:rPr>
        <w:color w:val="000000"/>
        <w:sz w:val="2"/>
        <w:szCs w:val="12"/>
        <w:lang w:val="fr-FR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EDEB" w14:textId="77777777" w:rsidR="00EF0173" w:rsidRDefault="00EF0173" w:rsidP="00EF0173">
    <w:pPr>
      <w:pStyle w:val="Footer"/>
      <w:rPr>
        <w:color w:val="000000"/>
        <w:sz w:val="2"/>
        <w:lang w:val="fr-FR"/>
      </w:rPr>
    </w:pPr>
  </w:p>
  <w:p w14:paraId="704ECE10" w14:textId="7491D77E" w:rsidR="003D69C4" w:rsidRPr="003D69C4" w:rsidRDefault="00EF0173" w:rsidP="00EF0173">
    <w:pPr>
      <w:pStyle w:val="Footer"/>
      <w:rPr>
        <w:lang w:val="fr-FR"/>
      </w:rPr>
    </w:pPr>
    <w:r w:rsidRPr="00EF0173">
      <w:rPr>
        <w:color w:val="000000"/>
        <w:sz w:val="2"/>
        <w:lang w:val="fr-FR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2642" w14:textId="77777777" w:rsidR="006560D9" w:rsidRDefault="00656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3DB9" w14:textId="77777777" w:rsidR="00035042" w:rsidRDefault="00035042" w:rsidP="00CC7F98">
      <w:pPr>
        <w:spacing w:after="0" w:line="240" w:lineRule="auto"/>
      </w:pPr>
      <w:r>
        <w:separator/>
      </w:r>
    </w:p>
  </w:footnote>
  <w:footnote w:type="continuationSeparator" w:id="0">
    <w:p w14:paraId="28CE9B4A" w14:textId="77777777" w:rsidR="00035042" w:rsidRDefault="00035042" w:rsidP="00CC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C6DD" w14:textId="77777777" w:rsidR="00EF0173" w:rsidRDefault="00EF0173" w:rsidP="00EF0173">
    <w:pPr>
      <w:pStyle w:val="Header"/>
      <w:rPr>
        <w:color w:val="000000"/>
        <w:sz w:val="2"/>
      </w:rPr>
    </w:pPr>
  </w:p>
  <w:p w14:paraId="2F75C6AD" w14:textId="3EBEF41D" w:rsidR="006560D9" w:rsidRDefault="00EF0173" w:rsidP="00EF0173">
    <w:pPr>
      <w:pStyle w:val="Header"/>
    </w:pPr>
    <w:r w:rsidRPr="00EF0173">
      <w:rPr>
        <w:color w:val="000000"/>
        <w:sz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1EE2" w14:textId="355A9181" w:rsidR="00EF0173" w:rsidRDefault="00EF0173" w:rsidP="00EF0173">
    <w:pPr>
      <w:pStyle w:val="Header"/>
      <w:rPr>
        <w:rFonts w:ascii="PermianSansTypeface" w:hAnsi="PermianSansTypeface"/>
        <w:b/>
        <w:color w:val="000000"/>
        <w:sz w:val="24"/>
      </w:rPr>
    </w:pPr>
    <w:bookmarkStart w:id="0" w:name="TITUS1HeaderPrimary"/>
    <w:r w:rsidRPr="00EF0173">
      <w:rPr>
        <w:rFonts w:ascii="PermianSansTypeface" w:hAnsi="PermianSansTypeface"/>
        <w:color w:val="000000"/>
        <w:sz w:val="2"/>
      </w:rPr>
      <w:t> </w:t>
    </w:r>
  </w:p>
  <w:bookmarkEnd w:id="0"/>
  <w:p w14:paraId="63895623" w14:textId="77777777" w:rsidR="006560D9" w:rsidRPr="006560D9" w:rsidRDefault="006560D9" w:rsidP="006560D9">
    <w:pPr>
      <w:pStyle w:val="Header"/>
      <w:jc w:val="right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1CC1" w14:textId="77777777" w:rsidR="006560D9" w:rsidRDefault="00656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4F"/>
    <w:multiLevelType w:val="hybridMultilevel"/>
    <w:tmpl w:val="A36E330C"/>
    <w:lvl w:ilvl="0" w:tplc="1CDC9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D63A3"/>
    <w:multiLevelType w:val="multilevel"/>
    <w:tmpl w:val="A0AC4FA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8F1D63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1BC763DD"/>
    <w:multiLevelType w:val="hybridMultilevel"/>
    <w:tmpl w:val="FB14C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E4E"/>
    <w:multiLevelType w:val="hybridMultilevel"/>
    <w:tmpl w:val="9E9087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6420E0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6E7F5467"/>
    <w:multiLevelType w:val="multilevel"/>
    <w:tmpl w:val="505C3D0A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3DE5849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8" w15:restartNumberingAfterBreak="0">
    <w:nsid w:val="757A0D8F"/>
    <w:multiLevelType w:val="hybridMultilevel"/>
    <w:tmpl w:val="801055A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C5D54"/>
    <w:multiLevelType w:val="hybridMultilevel"/>
    <w:tmpl w:val="C04CD4C4"/>
    <w:lvl w:ilvl="0" w:tplc="3DD0CF6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D23B0"/>
    <w:multiLevelType w:val="hybridMultilevel"/>
    <w:tmpl w:val="8C96E486"/>
    <w:lvl w:ilvl="0" w:tplc="7688B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7887">
    <w:abstractNumId w:val="10"/>
  </w:num>
  <w:num w:numId="2" w16cid:durableId="1712998066">
    <w:abstractNumId w:val="9"/>
  </w:num>
  <w:num w:numId="3" w16cid:durableId="414517849">
    <w:abstractNumId w:val="0"/>
  </w:num>
  <w:num w:numId="4" w16cid:durableId="1789813966">
    <w:abstractNumId w:val="1"/>
  </w:num>
  <w:num w:numId="5" w16cid:durableId="1287854864">
    <w:abstractNumId w:val="8"/>
  </w:num>
  <w:num w:numId="6" w16cid:durableId="780611292">
    <w:abstractNumId w:val="6"/>
  </w:num>
  <w:num w:numId="7" w16cid:durableId="410783558">
    <w:abstractNumId w:val="3"/>
  </w:num>
  <w:num w:numId="8" w16cid:durableId="338703840">
    <w:abstractNumId w:val="2"/>
  </w:num>
  <w:num w:numId="9" w16cid:durableId="1841385254">
    <w:abstractNumId w:val="4"/>
  </w:num>
  <w:num w:numId="10" w16cid:durableId="1633171516">
    <w:abstractNumId w:val="7"/>
  </w:num>
  <w:num w:numId="11" w16cid:durableId="1158040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98"/>
    <w:rsid w:val="00012DF4"/>
    <w:rsid w:val="00014E06"/>
    <w:rsid w:val="000232AF"/>
    <w:rsid w:val="00035042"/>
    <w:rsid w:val="00051F9E"/>
    <w:rsid w:val="000555B0"/>
    <w:rsid w:val="00066BAD"/>
    <w:rsid w:val="00071897"/>
    <w:rsid w:val="000823EE"/>
    <w:rsid w:val="00092A06"/>
    <w:rsid w:val="000C38F6"/>
    <w:rsid w:val="000E092C"/>
    <w:rsid w:val="001106DD"/>
    <w:rsid w:val="00131312"/>
    <w:rsid w:val="00147120"/>
    <w:rsid w:val="00147E95"/>
    <w:rsid w:val="00151033"/>
    <w:rsid w:val="00171C65"/>
    <w:rsid w:val="00191054"/>
    <w:rsid w:val="001A5578"/>
    <w:rsid w:val="001B01FF"/>
    <w:rsid w:val="001B655B"/>
    <w:rsid w:val="001F7DA8"/>
    <w:rsid w:val="00223B26"/>
    <w:rsid w:val="002438C1"/>
    <w:rsid w:val="00246B03"/>
    <w:rsid w:val="0026494B"/>
    <w:rsid w:val="00277BC0"/>
    <w:rsid w:val="002F1A4D"/>
    <w:rsid w:val="0030066D"/>
    <w:rsid w:val="003058E4"/>
    <w:rsid w:val="00307598"/>
    <w:rsid w:val="003231BF"/>
    <w:rsid w:val="003677DC"/>
    <w:rsid w:val="0038541C"/>
    <w:rsid w:val="003A404B"/>
    <w:rsid w:val="003C045B"/>
    <w:rsid w:val="003C5DA8"/>
    <w:rsid w:val="003C6644"/>
    <w:rsid w:val="003D4711"/>
    <w:rsid w:val="003D69C4"/>
    <w:rsid w:val="0041173D"/>
    <w:rsid w:val="004301BD"/>
    <w:rsid w:val="00441F6C"/>
    <w:rsid w:val="00446C87"/>
    <w:rsid w:val="004742CD"/>
    <w:rsid w:val="004848B5"/>
    <w:rsid w:val="004A249F"/>
    <w:rsid w:val="004C010A"/>
    <w:rsid w:val="004C2E1F"/>
    <w:rsid w:val="004D4DD1"/>
    <w:rsid w:val="004F56CA"/>
    <w:rsid w:val="00503C5B"/>
    <w:rsid w:val="005163CB"/>
    <w:rsid w:val="00526BB6"/>
    <w:rsid w:val="00531D0F"/>
    <w:rsid w:val="00545938"/>
    <w:rsid w:val="005838EF"/>
    <w:rsid w:val="005A29A4"/>
    <w:rsid w:val="005B6CD5"/>
    <w:rsid w:val="005D4299"/>
    <w:rsid w:val="005E09D7"/>
    <w:rsid w:val="005E78D1"/>
    <w:rsid w:val="00602A0A"/>
    <w:rsid w:val="006560D9"/>
    <w:rsid w:val="00696BC1"/>
    <w:rsid w:val="006C290F"/>
    <w:rsid w:val="006F328B"/>
    <w:rsid w:val="006F498A"/>
    <w:rsid w:val="007239A8"/>
    <w:rsid w:val="00724C0C"/>
    <w:rsid w:val="007547C4"/>
    <w:rsid w:val="00771E3D"/>
    <w:rsid w:val="00790964"/>
    <w:rsid w:val="007B71D1"/>
    <w:rsid w:val="007D13E7"/>
    <w:rsid w:val="00806057"/>
    <w:rsid w:val="0082332E"/>
    <w:rsid w:val="00823948"/>
    <w:rsid w:val="00823C56"/>
    <w:rsid w:val="00831AD2"/>
    <w:rsid w:val="00836D95"/>
    <w:rsid w:val="00851960"/>
    <w:rsid w:val="00857935"/>
    <w:rsid w:val="00871775"/>
    <w:rsid w:val="00881BFE"/>
    <w:rsid w:val="0088483A"/>
    <w:rsid w:val="008A3037"/>
    <w:rsid w:val="008A3BF7"/>
    <w:rsid w:val="008B4EF5"/>
    <w:rsid w:val="00921914"/>
    <w:rsid w:val="00930DE3"/>
    <w:rsid w:val="00935CF8"/>
    <w:rsid w:val="00950897"/>
    <w:rsid w:val="0097463D"/>
    <w:rsid w:val="00990416"/>
    <w:rsid w:val="009A0A46"/>
    <w:rsid w:val="009B3AC6"/>
    <w:rsid w:val="009D2752"/>
    <w:rsid w:val="009F1987"/>
    <w:rsid w:val="00A1426E"/>
    <w:rsid w:val="00A734BE"/>
    <w:rsid w:val="00A7361B"/>
    <w:rsid w:val="00AC005A"/>
    <w:rsid w:val="00AD5DA1"/>
    <w:rsid w:val="00AE55FC"/>
    <w:rsid w:val="00B06439"/>
    <w:rsid w:val="00B114D6"/>
    <w:rsid w:val="00B50F30"/>
    <w:rsid w:val="00B559E6"/>
    <w:rsid w:val="00B569EC"/>
    <w:rsid w:val="00B831B1"/>
    <w:rsid w:val="00BA6552"/>
    <w:rsid w:val="00BB0028"/>
    <w:rsid w:val="00BB502E"/>
    <w:rsid w:val="00BC6B61"/>
    <w:rsid w:val="00BC771A"/>
    <w:rsid w:val="00BF3AEF"/>
    <w:rsid w:val="00C309C6"/>
    <w:rsid w:val="00C350FF"/>
    <w:rsid w:val="00C42040"/>
    <w:rsid w:val="00C51D12"/>
    <w:rsid w:val="00C570A0"/>
    <w:rsid w:val="00C6643D"/>
    <w:rsid w:val="00C66C90"/>
    <w:rsid w:val="00CC7F98"/>
    <w:rsid w:val="00CE34E8"/>
    <w:rsid w:val="00D15B14"/>
    <w:rsid w:val="00D200EF"/>
    <w:rsid w:val="00D41F95"/>
    <w:rsid w:val="00D56D85"/>
    <w:rsid w:val="00D67FD4"/>
    <w:rsid w:val="00DA12C8"/>
    <w:rsid w:val="00DB023F"/>
    <w:rsid w:val="00DB1120"/>
    <w:rsid w:val="00DD101A"/>
    <w:rsid w:val="00DE52DF"/>
    <w:rsid w:val="00E1498E"/>
    <w:rsid w:val="00E63B87"/>
    <w:rsid w:val="00E8505B"/>
    <w:rsid w:val="00EB18D6"/>
    <w:rsid w:val="00EE26C4"/>
    <w:rsid w:val="00EF0173"/>
    <w:rsid w:val="00EF02C7"/>
    <w:rsid w:val="00F116FA"/>
    <w:rsid w:val="00F12717"/>
    <w:rsid w:val="00F23082"/>
    <w:rsid w:val="00F23495"/>
    <w:rsid w:val="00F32758"/>
    <w:rsid w:val="00F373D1"/>
    <w:rsid w:val="00F40133"/>
    <w:rsid w:val="00F7146D"/>
    <w:rsid w:val="00F953F6"/>
    <w:rsid w:val="00FA341B"/>
    <w:rsid w:val="00FA6389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68F67CD"/>
  <w15:chartTrackingRefBased/>
  <w15:docId w15:val="{4AEB402D-EECE-445E-8CCE-87EF81A8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C66C90"/>
    <w:pPr>
      <w:numPr>
        <w:numId w:val="4"/>
      </w:numPr>
      <w:spacing w:before="120" w:after="120" w:line="240" w:lineRule="auto"/>
      <w:ind w:left="454" w:hanging="454"/>
      <w:contextualSpacing w:val="0"/>
      <w:outlineLvl w:val="0"/>
    </w:pPr>
    <w:rPr>
      <w:rFonts w:ascii="PermianSansTypeface" w:eastAsia="Courier New" w:hAnsi="PermianSansTypeface" w:cs="Times New Roman"/>
      <w:b/>
      <w:color w:val="000000" w:themeColor="text1"/>
      <w:lang w:val="ro-MD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F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F98"/>
  </w:style>
  <w:style w:type="paragraph" w:styleId="Footer">
    <w:name w:val="footer"/>
    <w:basedOn w:val="Normal"/>
    <w:link w:val="FooterChar"/>
    <w:uiPriority w:val="99"/>
    <w:unhideWhenUsed/>
    <w:rsid w:val="00CC7F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F98"/>
  </w:style>
  <w:style w:type="paragraph" w:styleId="ListParagraph">
    <w:name w:val="List Paragraph"/>
    <w:basedOn w:val="Normal"/>
    <w:link w:val="ListParagraphChar"/>
    <w:uiPriority w:val="34"/>
    <w:qFormat/>
    <w:rsid w:val="005E0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F6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link w:val="10"/>
    <w:rsid w:val="00DA12C8"/>
    <w:rPr>
      <w:rFonts w:ascii="Arial" w:hAnsi="Arial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DA12C8"/>
    <w:pPr>
      <w:widowControl w:val="0"/>
      <w:shd w:val="clear" w:color="auto" w:fill="FFFFFF"/>
      <w:spacing w:before="240" w:after="0" w:line="240" w:lineRule="atLeast"/>
      <w:outlineLvl w:val="0"/>
    </w:pPr>
    <w:rPr>
      <w:rFonts w:ascii="Arial" w:hAnsi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C66C90"/>
    <w:rPr>
      <w:rFonts w:ascii="PermianSansTypeface" w:eastAsia="Courier New" w:hAnsi="PermianSansTypeface" w:cs="Times New Roman"/>
      <w:b/>
      <w:color w:val="000000" w:themeColor="text1"/>
      <w:lang w:val="ro-MD" w:eastAsia="ro-RO"/>
    </w:rPr>
  </w:style>
  <w:style w:type="table" w:styleId="TableGrid">
    <w:name w:val="Table Grid"/>
    <w:basedOn w:val="TableNormal"/>
    <w:rsid w:val="00C6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66C90"/>
  </w:style>
  <w:style w:type="paragraph" w:styleId="Revision">
    <w:name w:val="Revision"/>
    <w:hidden/>
    <w:uiPriority w:val="99"/>
    <w:semiHidden/>
    <w:rsid w:val="00EF0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D54A0BF97D84783FB75BC6B4D7B32" ma:contentTypeVersion="13" ma:contentTypeDescription="Create a new document." ma:contentTypeScope="" ma:versionID="47cbf8039bf2ae45be2e4743d224f8ae">
  <xsd:schema xmlns:xsd="http://www.w3.org/2001/XMLSchema" xmlns:xs="http://www.w3.org/2001/XMLSchema" xmlns:p="http://schemas.microsoft.com/office/2006/metadata/properties" xmlns:ns3="884119c6-13d4-4238-b050-c4fef81b9615" xmlns:ns4="a4828501-380e-480a-a991-67a748a1c85e" targetNamespace="http://schemas.microsoft.com/office/2006/metadata/properties" ma:root="true" ma:fieldsID="60c52b34341424e75834257761c27c8e" ns3:_="" ns4:_="">
    <xsd:import namespace="884119c6-13d4-4238-b050-c4fef81b9615"/>
    <xsd:import namespace="a4828501-380e-480a-a991-67a748a1c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119c6-13d4-4238-b050-c4fef81b9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28501-380e-480a-a991-67a748a1c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12F49-CEDF-463A-AB08-344CE734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119c6-13d4-4238-b050-c4fef81b9615"/>
    <ds:schemaRef ds:uri="a4828501-380e-480a-a991-67a748a1c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1EEBB-31E0-4FBC-8EF0-89F00E7A3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CDC1F-ADFD-4591-BCC9-9E0D14787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AF1C4-89D3-4FCA-9DEB-08A5A7696F7B}">
  <ds:schemaRefs>
    <ds:schemaRef ds:uri="http://schemas.microsoft.com/office/2006/documentManagement/types"/>
    <ds:schemaRef ds:uri="a4828501-380e-480a-a991-67a748a1c85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4119c6-13d4-4238-b050-c4fef81b9615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2395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I. Salogub</dc:creator>
  <cp:keywords/>
  <dc:description/>
  <cp:lastModifiedBy>Ruslan D. Grate</cp:lastModifiedBy>
  <cp:revision>5</cp:revision>
  <cp:lastPrinted>2023-05-26T05:48:00Z</cp:lastPrinted>
  <dcterms:created xsi:type="dcterms:W3CDTF">2023-05-26T05:36:00Z</dcterms:created>
  <dcterms:modified xsi:type="dcterms:W3CDTF">2023-05-26T05:48:00Z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0a6b8bcf-8cdf-4b7f-b572-90610594938e</vt:lpwstr>
  </property>
  <property fmtid="{D5CDD505-2E9C-101B-9397-08002B2CF9AE}" pid="3" name="ContentTypeId">
    <vt:lpwstr>0x010100ED2D54A0BF97D84783FB75BC6B4D7B32</vt:lpwstr>
  </property>
  <property fmtid="{D5CDD505-2E9C-101B-9397-08002B2CF9AE}" pid="4" name="MSIP_Label_68b53cb3-680b-42b8-8d30-2fb6f025b964_Enabled">
    <vt:lpwstr>True</vt:lpwstr>
  </property>
  <property fmtid="{D5CDD505-2E9C-101B-9397-08002B2CF9AE}" pid="5" name="MSIP_Label_68b53cb3-680b-42b8-8d30-2fb6f025b964_SiteId">
    <vt:lpwstr>85fe9430-dd36-43f8-9a3b-85ab106c7724</vt:lpwstr>
  </property>
  <property fmtid="{D5CDD505-2E9C-101B-9397-08002B2CF9AE}" pid="6" name="MSIP_Label_68b53cb3-680b-42b8-8d30-2fb6f025b964_Owner">
    <vt:lpwstr>alexandru.savva@DCU.MD</vt:lpwstr>
  </property>
  <property fmtid="{D5CDD505-2E9C-101B-9397-08002B2CF9AE}" pid="7" name="MSIP_Label_68b53cb3-680b-42b8-8d30-2fb6f025b964_SetDate">
    <vt:lpwstr>2020-07-17T16:32:41.8399657Z</vt:lpwstr>
  </property>
  <property fmtid="{D5CDD505-2E9C-101B-9397-08002B2CF9AE}" pid="8" name="MSIP_Label_68b53cb3-680b-42b8-8d30-2fb6f025b964_Name">
    <vt:lpwstr>NON-BUSINESS</vt:lpwstr>
  </property>
  <property fmtid="{D5CDD505-2E9C-101B-9397-08002B2CF9AE}" pid="9" name="MSIP_Label_68b53cb3-680b-42b8-8d30-2fb6f025b964_Application">
    <vt:lpwstr>Microsoft Azure Information Protection</vt:lpwstr>
  </property>
  <property fmtid="{D5CDD505-2E9C-101B-9397-08002B2CF9AE}" pid="10" name="MSIP_Label_68b53cb3-680b-42b8-8d30-2fb6f025b964_ActionId">
    <vt:lpwstr>0271f9c3-497f-48c8-98bd-587528260161</vt:lpwstr>
  </property>
  <property fmtid="{D5CDD505-2E9C-101B-9397-08002B2CF9AE}" pid="11" name="MSIP_Label_68b53cb3-680b-42b8-8d30-2fb6f025b964_Extended_MSFT_Method">
    <vt:lpwstr>Manual</vt:lpwstr>
  </property>
  <property fmtid="{D5CDD505-2E9C-101B-9397-08002B2CF9AE}" pid="12" name="Sensitivity">
    <vt:lpwstr>NON-BUSINESS</vt:lpwstr>
  </property>
  <property fmtid="{D5CDD505-2E9C-101B-9397-08002B2CF9AE}" pid="13" name="check">
    <vt:lpwstr>NONE</vt:lpwstr>
  </property>
  <property fmtid="{D5CDD505-2E9C-101B-9397-08002B2CF9AE}" pid="14" name="Clasificare">
    <vt:lpwstr>NONE</vt:lpwstr>
  </property>
</Properties>
</file>