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70F7" w14:textId="77777777" w:rsidR="0034245D" w:rsidRPr="00064CD6" w:rsidRDefault="0034245D" w:rsidP="0034245D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РЕГЛАМЕНТ</w:t>
      </w:r>
    </w:p>
    <w:p w14:paraId="2FDA641B" w14:textId="77777777" w:rsidR="0034245D" w:rsidRPr="00064CD6" w:rsidRDefault="0034245D" w:rsidP="0034245D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об аудите небанковских поставщиков платежных услуг</w:t>
      </w:r>
    </w:p>
    <w:p w14:paraId="18224F35" w14:textId="77777777" w:rsidR="0034245D" w:rsidRDefault="0034245D" w:rsidP="0034245D">
      <w:pPr>
        <w:pStyle w:val="rtecenter"/>
        <w:spacing w:before="0" w:beforeAutospacing="0" w:after="0" w:afterAutospacing="0"/>
        <w:jc w:val="right"/>
        <w:rPr>
          <w:rFonts w:ascii="PermianSerifTypeface" w:hAnsi="PermianSerifTypeface"/>
          <w:bCs/>
          <w:i/>
          <w:sz w:val="22"/>
          <w:szCs w:val="22"/>
          <w:lang w:val="ro-MD"/>
        </w:rPr>
      </w:pPr>
    </w:p>
    <w:p w14:paraId="51E93F41" w14:textId="0A64B511" w:rsidR="0034245D" w:rsidRDefault="0034245D" w:rsidP="0034245D">
      <w:pPr>
        <w:pStyle w:val="rtecenter"/>
        <w:spacing w:before="0" w:beforeAutospacing="0" w:after="0" w:afterAutospacing="0"/>
        <w:jc w:val="right"/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</w:pPr>
      <w:proofErr w:type="spellStart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>Опубликован</w:t>
      </w:r>
      <w:proofErr w:type="spellEnd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 xml:space="preserve"> в </w:t>
      </w:r>
      <w:r w:rsidR="00DB10F0" w:rsidRPr="004D5F46">
        <w:rPr>
          <w:rFonts w:ascii="PermianSerifTypeface" w:hAnsi="PermianSerifTypeface"/>
          <w:bCs/>
          <w:i/>
          <w:sz w:val="22"/>
          <w:szCs w:val="22"/>
          <w:lang w:val="ru-RU"/>
        </w:rPr>
        <w:t xml:space="preserve">Официальном мониторе Республики Молдова </w:t>
      </w:r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 xml:space="preserve">№ </w:t>
      </w:r>
      <w:r>
        <w:rPr>
          <w:rFonts w:ascii="PermianSerifTypeface" w:hAnsi="PermianSerifTypeface"/>
          <w:bCs/>
          <w:i/>
          <w:sz w:val="22"/>
          <w:szCs w:val="22"/>
          <w:lang w:val="ro-MD"/>
        </w:rPr>
        <w:t>459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-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461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от</w:t>
      </w:r>
      <w:proofErr w:type="spellEnd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07.11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.20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24,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ст</w:t>
      </w:r>
      <w:proofErr w:type="spellEnd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. 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8722</w:t>
      </w:r>
    </w:p>
    <w:p w14:paraId="6E9198D2" w14:textId="77777777" w:rsidR="00772830" w:rsidRDefault="00772830" w:rsidP="0034245D">
      <w:pPr>
        <w:pStyle w:val="rtecenter"/>
        <w:spacing w:before="0" w:beforeAutospacing="0" w:after="0" w:afterAutospacing="0"/>
        <w:jc w:val="right"/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</w:pPr>
    </w:p>
    <w:p w14:paraId="342CD5FB" w14:textId="4CEDE1DB" w:rsidR="00772830" w:rsidRPr="00772830" w:rsidRDefault="00772830" w:rsidP="00772830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</w:pP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Изменен:</w:t>
      </w:r>
    </w:p>
    <w:p w14:paraId="3719D03B" w14:textId="7403AB1F" w:rsidR="00772830" w:rsidRPr="00DB69DA" w:rsidRDefault="00772830" w:rsidP="00772830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MD"/>
        </w:rPr>
        <w:t xml:space="preserve">ПИК НБМ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229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02.10.2025, </w:t>
      </w:r>
      <w:r w:rsidR="003A520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ОМ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РМ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n</w:t>
      </w:r>
      <w:r w:rsidRPr="00772830">
        <w:rPr>
          <w:rFonts w:ascii="PT Serif" w:hAnsi="PT Serif"/>
          <w:i/>
          <w:iCs/>
          <w:color w:val="56534F"/>
          <w:shd w:val="clear" w:color="auto" w:fill="FAFAFA"/>
          <w:lang w:val="ru-RU"/>
        </w:rPr>
        <w:t xml:space="preserve">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523-525/132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09.10. 2025,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в силу с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09.10.2025</w:t>
      </w:r>
    </w:p>
    <w:p w14:paraId="04E9C7B2" w14:textId="77777777" w:rsidR="00772830" w:rsidRPr="00303119" w:rsidRDefault="00772830" w:rsidP="0034245D">
      <w:pPr>
        <w:pStyle w:val="rtecenter"/>
        <w:spacing w:before="0" w:beforeAutospacing="0" w:after="0" w:afterAutospacing="0"/>
        <w:jc w:val="right"/>
        <w:rPr>
          <w:rFonts w:ascii="PermianSerifTypeface" w:hAnsi="PermianSerifTypeface"/>
          <w:color w:val="000000"/>
          <w:sz w:val="22"/>
          <w:szCs w:val="22"/>
          <w:lang w:val="ro-MD"/>
        </w:rPr>
      </w:pPr>
    </w:p>
    <w:p w14:paraId="2125D4A2" w14:textId="77777777" w:rsidR="00BB4FEA" w:rsidRPr="0034245D" w:rsidRDefault="00BB4FE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MD"/>
        </w:rPr>
      </w:pPr>
    </w:p>
    <w:p w14:paraId="07432F0C" w14:textId="150CC42B" w:rsidR="00BB4FEA" w:rsidRPr="00064CD6" w:rsidRDefault="00F246C1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bookmarkStart w:id="0" w:name="_Hlk212533751"/>
      <w:r w:rsidRPr="00303119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УТВЕРЖДЕННЫЙ</w:t>
      </w:r>
      <w:r w:rsidR="0077277A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</w:p>
    <w:p w14:paraId="3069C31B" w14:textId="77777777" w:rsidR="0077277A" w:rsidRPr="00064CD6" w:rsidRDefault="0077277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Постановлением Исполнительного комитета</w:t>
      </w:r>
    </w:p>
    <w:p w14:paraId="5D6FD396" w14:textId="3E2AA67F" w:rsidR="0077277A" w:rsidRPr="00064CD6" w:rsidRDefault="0077277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Национального банка Молдовы </w:t>
      </w:r>
    </w:p>
    <w:p w14:paraId="374CF6CC" w14:textId="6E91F058" w:rsidR="00FF3F84" w:rsidRDefault="0077277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№ </w:t>
      </w:r>
      <w:r w:rsidR="00FD1BB1">
        <w:rPr>
          <w:rFonts w:ascii="PermianSerifTypeface" w:hAnsi="PermianSerifTypeface"/>
          <w:sz w:val="24"/>
          <w:szCs w:val="24"/>
          <w:lang w:val="ro-RO"/>
        </w:rPr>
        <w:t>267</w:t>
      </w:r>
      <w:r w:rsidR="00FF3F84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064CD6">
        <w:rPr>
          <w:rFonts w:ascii="PermianSerifTypeface" w:hAnsi="PermianSerifTypeface"/>
          <w:sz w:val="24"/>
          <w:szCs w:val="24"/>
          <w:lang w:val="ru-RU"/>
        </w:rPr>
        <w:t>от</w:t>
      </w:r>
      <w:r w:rsidR="00FF3F84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FD1BB1">
        <w:rPr>
          <w:rFonts w:ascii="PermianSerifTypeface" w:hAnsi="PermianSerifTypeface"/>
          <w:sz w:val="24"/>
          <w:szCs w:val="24"/>
          <w:lang w:val="ro-RO"/>
        </w:rPr>
        <w:t xml:space="preserve">31 </w:t>
      </w:r>
      <w:r w:rsidR="00FD1BB1">
        <w:rPr>
          <w:rFonts w:ascii="PermianSerifTypeface" w:hAnsi="PermianSerifTypeface"/>
          <w:sz w:val="24"/>
          <w:szCs w:val="24"/>
          <w:lang w:val="ru-RU"/>
        </w:rPr>
        <w:t>октября 2024</w:t>
      </w:r>
    </w:p>
    <w:p w14:paraId="08569F60" w14:textId="4FA3CD60" w:rsidR="00F246C1" w:rsidRPr="00303119" w:rsidRDefault="00F246C1" w:rsidP="00F246C1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В действии: с</w:t>
      </w:r>
      <w:r w:rsidRPr="00303119">
        <w:rPr>
          <w:rFonts w:ascii="PermianSerifTypeface" w:hAnsi="PermianSerifTypeface"/>
          <w:color w:val="000000"/>
          <w:sz w:val="22"/>
          <w:szCs w:val="22"/>
        </w:rPr>
        <w:t> </w:t>
      </w:r>
      <w:r w:rsidRPr="00F246C1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7</w:t>
      </w:r>
      <w:r w:rsidRPr="00FA296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 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ноября</w:t>
      </w:r>
      <w:r w:rsidRPr="00FA296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 202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4</w:t>
      </w:r>
    </w:p>
    <w:bookmarkEnd w:id="0"/>
    <w:p w14:paraId="64C9D2F6" w14:textId="77777777" w:rsidR="00F246C1" w:rsidRPr="00FD1BB1" w:rsidRDefault="00F246C1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</w:p>
    <w:p w14:paraId="29B39758" w14:textId="69C1E5DB" w:rsidR="00E032F3" w:rsidRPr="00064CD6" w:rsidRDefault="00E032F3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18395041" w14:textId="77777777" w:rsidR="003231A1" w:rsidRPr="00064CD6" w:rsidRDefault="003231A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</w:p>
    <w:p w14:paraId="28A929C0" w14:textId="39CA12A0" w:rsidR="0002548C" w:rsidRPr="00064CD6" w:rsidRDefault="003231A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 xml:space="preserve">Глава </w:t>
      </w:r>
      <w:r w:rsidR="0002548C" w:rsidRPr="00064CD6">
        <w:rPr>
          <w:rFonts w:ascii="PermianSerifTypeface" w:hAnsi="PermianSerifTypeface"/>
          <w:b/>
          <w:sz w:val="24"/>
          <w:szCs w:val="24"/>
          <w:lang w:val="ro-RO"/>
        </w:rPr>
        <w:t>I</w:t>
      </w:r>
    </w:p>
    <w:p w14:paraId="7CB37659" w14:textId="40F5BED1" w:rsidR="0002548C" w:rsidRPr="00064CD6" w:rsidRDefault="003231A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ОБЩИЕ ПОЛОЖЕНИЯ</w:t>
      </w:r>
    </w:p>
    <w:p w14:paraId="2EA63849" w14:textId="77777777" w:rsidR="003231A1" w:rsidRPr="00064CD6" w:rsidRDefault="003231A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</w:p>
    <w:p w14:paraId="411B9DA2" w14:textId="32F075A1" w:rsidR="00F85F12" w:rsidRPr="00064CD6" w:rsidRDefault="0002548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1.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925E45" w:rsidRPr="00064CD6">
        <w:rPr>
          <w:rFonts w:ascii="PermianSerifTypeface" w:hAnsi="PermianSerifTypeface"/>
          <w:sz w:val="24"/>
          <w:szCs w:val="24"/>
          <w:lang w:val="ru-RU" w:eastAsia="ro-MD"/>
        </w:rPr>
        <w:t>Р</w:t>
      </w:r>
      <w:r w:rsidR="00F85F12" w:rsidRPr="00064CD6">
        <w:rPr>
          <w:rFonts w:ascii="PermianSerifTypeface" w:hAnsi="PermianSerifTypeface"/>
          <w:sz w:val="24"/>
          <w:szCs w:val="24"/>
          <w:lang w:val="ru-RU"/>
        </w:rPr>
        <w:t xml:space="preserve">егламент об аудите небанковских </w:t>
      </w:r>
      <w:r w:rsidR="00D5637E" w:rsidRPr="00064CD6">
        <w:rPr>
          <w:rFonts w:ascii="PermianSerifTypeface" w:hAnsi="PermianSerifTypeface"/>
          <w:sz w:val="24"/>
          <w:szCs w:val="24"/>
          <w:lang w:val="ru-RU"/>
        </w:rPr>
        <w:t xml:space="preserve">поставщиков платежных услуг (далее – регламент) </w:t>
      </w:r>
      <w:r w:rsidR="00F85F12" w:rsidRPr="00064CD6">
        <w:rPr>
          <w:rFonts w:ascii="PermianSerifTypeface" w:hAnsi="PermianSerifTypeface"/>
          <w:sz w:val="24"/>
          <w:szCs w:val="24"/>
          <w:lang w:val="ru-RU"/>
        </w:rPr>
        <w:t>устанавливает нормативную основу осуществления аудита финансовых отчетов</w:t>
      </w:r>
      <w:r w:rsidR="00D5637E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bookmarkStart w:id="1" w:name="_Hlk181359818"/>
      <w:r w:rsidR="00D5637E" w:rsidRPr="00064CD6">
        <w:rPr>
          <w:rFonts w:ascii="PermianSerifTypeface" w:hAnsi="PermianSerifTypeface"/>
          <w:sz w:val="24"/>
          <w:szCs w:val="24"/>
          <w:lang w:val="ru-RU"/>
        </w:rPr>
        <w:t>небанковских поставщиков платежных услуг</w:t>
      </w:r>
      <w:bookmarkEnd w:id="1"/>
      <w:r w:rsidR="00D5637E" w:rsidRPr="00064CD6">
        <w:rPr>
          <w:rFonts w:ascii="PermianSerifTypeface" w:hAnsi="PermianSerifTypeface"/>
          <w:sz w:val="24"/>
          <w:szCs w:val="24"/>
          <w:lang w:val="ru-RU"/>
        </w:rPr>
        <w:t>, а именно: требования к субъекту аудита</w:t>
      </w:r>
      <w:r w:rsidR="00EB5CEF" w:rsidRPr="00064CD6">
        <w:rPr>
          <w:rFonts w:ascii="PermianSerifTypeface" w:hAnsi="PermianSerifTypeface"/>
          <w:sz w:val="24"/>
          <w:szCs w:val="24"/>
          <w:lang w:val="ru-RU"/>
        </w:rPr>
        <w:t xml:space="preserve">, включая </w:t>
      </w:r>
      <w:r w:rsidR="001C68B8" w:rsidRPr="00064CD6">
        <w:rPr>
          <w:rFonts w:ascii="PermianSerifTypeface" w:hAnsi="PermianSerifTypeface"/>
          <w:sz w:val="24"/>
          <w:szCs w:val="24"/>
          <w:lang w:val="ru-RU"/>
        </w:rPr>
        <w:t xml:space="preserve">порядок сообщения и документирования между аудиторским </w:t>
      </w:r>
      <w:r w:rsidR="00383780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субъектом, Национальным банком Молдовы и небанковскими поставщиками платежных услуг, метод утверждения и отзыва </w:t>
      </w:r>
      <w:r w:rsidR="001C6EC9" w:rsidRPr="00064CD6">
        <w:rPr>
          <w:rFonts w:ascii="PermianSerifTypeface" w:hAnsi="PermianSerifTypeface"/>
          <w:sz w:val="24"/>
          <w:szCs w:val="24"/>
          <w:lang w:val="ru-RU"/>
        </w:rPr>
        <w:t>утвержд</w:t>
      </w:r>
      <w:r w:rsidR="00383780" w:rsidRPr="00064CD6">
        <w:rPr>
          <w:rFonts w:ascii="PermianSerifTypeface" w:hAnsi="PermianSerifTypeface"/>
          <w:sz w:val="24"/>
          <w:szCs w:val="24"/>
          <w:lang w:val="ru-RU"/>
        </w:rPr>
        <w:t>ения субъекта аудита</w:t>
      </w:r>
      <w:r w:rsidR="00925E45" w:rsidRPr="00064CD6">
        <w:rPr>
          <w:rFonts w:ascii="PermianSerifTypeface" w:hAnsi="PermianSerifTypeface"/>
          <w:sz w:val="24"/>
          <w:szCs w:val="24"/>
          <w:lang w:val="ru-RU"/>
        </w:rPr>
        <w:t>.</w:t>
      </w:r>
      <w:r w:rsidR="00383780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</w:p>
    <w:p w14:paraId="2576223F" w14:textId="436033B7" w:rsidR="0002548C" w:rsidRPr="00064CD6" w:rsidRDefault="0002548C" w:rsidP="00FC0AA0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0C700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Понятия и выражения, используемые в настоящем </w:t>
      </w:r>
      <w:r w:rsidR="0024110F" w:rsidRPr="00064CD6">
        <w:rPr>
          <w:rFonts w:ascii="PermianSerifTypeface" w:hAnsi="PermianSerifTypeface"/>
          <w:sz w:val="24"/>
          <w:szCs w:val="24"/>
          <w:lang w:val="ru-RU" w:eastAsia="ro-MD"/>
        </w:rPr>
        <w:t>регламенте</w:t>
      </w:r>
      <w:r w:rsidR="000C700D" w:rsidRPr="00064CD6">
        <w:rPr>
          <w:rFonts w:ascii="PermianSerifTypeface" w:hAnsi="PermianSerifTypeface"/>
          <w:sz w:val="24"/>
          <w:szCs w:val="24"/>
          <w:lang w:val="ru-RU" w:eastAsia="ro-MD"/>
        </w:rPr>
        <w:t>, имеют значения, предусмотренные Законом о платежных услугах и электронных деньгах</w:t>
      </w:r>
      <w:r w:rsidR="0024110F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№ 114/2012 </w:t>
      </w:r>
      <w:r w:rsidR="000C700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(далее – Закон № 114/2012)</w:t>
      </w:r>
      <w:r w:rsidR="0024110F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, Регламентом о лицензировании </w:t>
      </w:r>
      <w:r w:rsidR="00B13D56" w:rsidRPr="00064CD6">
        <w:rPr>
          <w:rFonts w:ascii="PermianSerifTypeface" w:hAnsi="PermianSerifTypeface"/>
          <w:sz w:val="24"/>
          <w:szCs w:val="24"/>
          <w:lang w:val="ru-RU"/>
        </w:rPr>
        <w:t xml:space="preserve">и регистрации платежных обществ, обществ, </w:t>
      </w:r>
      <w:r w:rsidR="00BA0C99" w:rsidRPr="00064CD6">
        <w:rPr>
          <w:rFonts w:ascii="PermianSerifTypeface" w:hAnsi="PermianSerifTypeface"/>
          <w:sz w:val="24"/>
          <w:szCs w:val="24"/>
          <w:lang w:val="ru-RU"/>
        </w:rPr>
        <w:t>выпуска</w:t>
      </w:r>
      <w:r w:rsidR="00BA0C99">
        <w:rPr>
          <w:rFonts w:ascii="PermianSerifTypeface" w:hAnsi="PermianSerifTypeface"/>
          <w:sz w:val="24"/>
          <w:szCs w:val="24"/>
          <w:lang w:val="ru-RU"/>
        </w:rPr>
        <w:t>ющих</w:t>
      </w:r>
      <w:r w:rsidR="00BA0C99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B13D56" w:rsidRPr="00064CD6">
        <w:rPr>
          <w:rFonts w:ascii="PermianSerifTypeface" w:hAnsi="PermianSerifTypeface"/>
          <w:sz w:val="24"/>
          <w:szCs w:val="24"/>
          <w:lang w:val="ru-RU"/>
        </w:rPr>
        <w:t>электронные деньги</w:t>
      </w:r>
      <w:r w:rsidR="00BA0C99">
        <w:rPr>
          <w:rFonts w:ascii="PermianSerifTypeface" w:hAnsi="PermianSerifTypeface"/>
          <w:sz w:val="24"/>
          <w:szCs w:val="24"/>
          <w:lang w:val="ru-RU"/>
        </w:rPr>
        <w:t>,</w:t>
      </w:r>
      <w:r w:rsidR="00B13D56" w:rsidRPr="00064CD6">
        <w:rPr>
          <w:rFonts w:ascii="PermianSerifTypeface" w:hAnsi="PermianSerifTypeface"/>
          <w:sz w:val="24"/>
          <w:szCs w:val="24"/>
          <w:lang w:val="ru-RU"/>
        </w:rPr>
        <w:t xml:space="preserve"> и поставщиков </w:t>
      </w:r>
      <w:r w:rsidR="00BA0C99" w:rsidRPr="00BA0C99">
        <w:rPr>
          <w:rFonts w:ascii="PermianSerifTypeface" w:hAnsi="PermianSerifTypeface"/>
          <w:sz w:val="24"/>
          <w:szCs w:val="24"/>
          <w:lang w:val="ru-RU"/>
        </w:rPr>
        <w:t>почтовых</w:t>
      </w:r>
      <w:r w:rsidR="00B13D56" w:rsidRPr="00064CD6">
        <w:rPr>
          <w:rFonts w:ascii="PermianSerifTypeface" w:hAnsi="PermianSerifTypeface"/>
          <w:sz w:val="24"/>
          <w:szCs w:val="24"/>
          <w:lang w:val="ru-RU"/>
        </w:rPr>
        <w:t xml:space="preserve"> услуг в качестве поставщиков платежных услуг и/или эмитентов электронных денег, утвержденным Постановлением  Исполнительного комитета Национального банка Молдовы №  </w:t>
      </w:r>
      <w:r w:rsidR="00F74930" w:rsidRPr="00064CD6">
        <w:rPr>
          <w:rFonts w:ascii="PermianSerifTypeface" w:hAnsi="PermianSerifTypeface"/>
          <w:sz w:val="24"/>
          <w:szCs w:val="24"/>
          <w:lang w:val="ru-RU"/>
        </w:rPr>
        <w:t>11/2024</w:t>
      </w:r>
      <w:r w:rsidR="00FC0AA0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B13D56" w:rsidRPr="00064CD6">
        <w:rPr>
          <w:rFonts w:ascii="PermianSerifTypeface" w:hAnsi="PermianSerifTypeface"/>
          <w:sz w:val="24"/>
          <w:szCs w:val="24"/>
          <w:lang w:val="ru-RU"/>
        </w:rPr>
        <w:t xml:space="preserve">и </w:t>
      </w:r>
      <w:r w:rsidR="00E475C5" w:rsidRPr="00064CD6">
        <w:rPr>
          <w:rFonts w:ascii="PermianSerifTypeface" w:hAnsi="PermianSerifTypeface"/>
          <w:sz w:val="24"/>
          <w:szCs w:val="24"/>
          <w:lang w:val="ru-RU"/>
        </w:rPr>
        <w:t>Законом об аудите финансов</w:t>
      </w:r>
      <w:r w:rsidR="00BA5167" w:rsidRPr="00064CD6">
        <w:rPr>
          <w:rFonts w:ascii="PermianSerifTypeface" w:hAnsi="PermianSerifTypeface"/>
          <w:sz w:val="24"/>
          <w:szCs w:val="24"/>
          <w:lang w:val="ru-RU"/>
        </w:rPr>
        <w:t>ых</w:t>
      </w:r>
      <w:r w:rsidR="00E475C5" w:rsidRPr="00064CD6">
        <w:rPr>
          <w:rFonts w:ascii="PermianSerifTypeface" w:hAnsi="PermianSerifTypeface"/>
          <w:sz w:val="24"/>
          <w:szCs w:val="24"/>
          <w:lang w:val="ru-RU"/>
        </w:rPr>
        <w:t xml:space="preserve"> отчет</w:t>
      </w:r>
      <w:r w:rsidR="00BA5167" w:rsidRPr="00064CD6">
        <w:rPr>
          <w:rFonts w:ascii="PermianSerifTypeface" w:hAnsi="PermianSerifTypeface"/>
          <w:sz w:val="24"/>
          <w:szCs w:val="24"/>
          <w:lang w:val="ru-RU"/>
        </w:rPr>
        <w:t>ов</w:t>
      </w:r>
      <w:r w:rsidR="00E475C5" w:rsidRPr="00064CD6">
        <w:rPr>
          <w:rFonts w:ascii="PermianSerifTypeface" w:hAnsi="PermianSerifTypeface"/>
          <w:sz w:val="24"/>
          <w:szCs w:val="24"/>
          <w:lang w:val="ru-RU"/>
        </w:rPr>
        <w:t xml:space="preserve"> № </w:t>
      </w:r>
      <w:r w:rsidR="000B687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75094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271/2017 </w:t>
      </w:r>
      <w:r w:rsidR="006207CB" w:rsidRPr="00064CD6">
        <w:rPr>
          <w:rFonts w:ascii="PermianSerifTypeface" w:hAnsi="PermianSerifTypeface"/>
          <w:sz w:val="24"/>
          <w:szCs w:val="24"/>
          <w:lang w:val="ru-RU" w:eastAsia="ro-MD"/>
        </w:rPr>
        <w:t>(</w:t>
      </w:r>
      <w:r w:rsidR="002D411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далее </w:t>
      </w:r>
      <w:r w:rsidR="006207CB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– </w:t>
      </w:r>
      <w:r w:rsidR="002D4115" w:rsidRPr="00064CD6">
        <w:rPr>
          <w:rFonts w:ascii="PermianSerifTypeface" w:hAnsi="PermianSerifTypeface"/>
          <w:sz w:val="24"/>
          <w:szCs w:val="24"/>
          <w:lang w:val="ru-RU" w:eastAsia="ro-MD"/>
        </w:rPr>
        <w:t>Закон №</w:t>
      </w:r>
      <w:r w:rsidR="006207CB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271/2017)</w:t>
      </w:r>
      <w:r w:rsidR="00F7493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  <w:r w:rsidR="003120B9" w:rsidRPr="00064CD6">
        <w:rPr>
          <w:rFonts w:ascii="PermianSerifTypeface" w:hAnsi="PermianSerifTypeface"/>
          <w:sz w:val="24"/>
          <w:szCs w:val="24"/>
          <w:lang w:val="ru-RU" w:eastAsia="ro-MD"/>
        </w:rPr>
        <w:t>Т</w:t>
      </w:r>
      <w:r w:rsidR="002D411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акже для целей настоящего регламента используются следующие </w:t>
      </w:r>
      <w:r w:rsidR="00036C4C" w:rsidRPr="00064CD6">
        <w:rPr>
          <w:rFonts w:ascii="PermianSerifTypeface" w:hAnsi="PermianSerifTypeface"/>
          <w:sz w:val="24"/>
          <w:szCs w:val="24"/>
          <w:lang w:val="ru-RU" w:eastAsia="ro-MD"/>
        </w:rPr>
        <w:t>понятия</w:t>
      </w:r>
      <w:r w:rsidR="002D411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и сокращени</w:t>
      </w:r>
      <w:r w:rsidR="00036C4C" w:rsidRPr="00064CD6">
        <w:rPr>
          <w:rFonts w:ascii="PermianSerifTypeface" w:hAnsi="PermianSerifTypeface"/>
          <w:sz w:val="24"/>
          <w:szCs w:val="24"/>
          <w:lang w:val="ru-RU" w:eastAsia="ro-MD"/>
        </w:rPr>
        <w:t>я</w:t>
      </w:r>
      <w:r w:rsidR="00FF3F84" w:rsidRPr="00064CD6">
        <w:rPr>
          <w:rFonts w:ascii="PermianSerifTypeface" w:hAnsi="PermianSerifTypeface"/>
          <w:sz w:val="24"/>
          <w:szCs w:val="24"/>
          <w:lang w:val="ru-RU"/>
        </w:rPr>
        <w:t>:</w:t>
      </w:r>
    </w:p>
    <w:p w14:paraId="1F3DD2F6" w14:textId="489C4056" w:rsidR="00F74930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  <w:r w:rsidRPr="00064CD6">
        <w:rPr>
          <w:rFonts w:ascii="PermianSerifTypeface" w:hAnsi="PermianSerifTypeface"/>
          <w:sz w:val="24"/>
          <w:szCs w:val="24"/>
          <w:lang w:eastAsia="ro-MD"/>
        </w:rPr>
        <w:t>2.</w:t>
      </w:r>
      <w:r w:rsidR="007B085C" w:rsidRPr="00064CD6">
        <w:rPr>
          <w:rFonts w:ascii="PermianSerifTypeface" w:hAnsi="PermianSerifTypeface"/>
          <w:sz w:val="24"/>
          <w:szCs w:val="24"/>
          <w:lang w:eastAsia="ro-MD"/>
        </w:rPr>
        <w:t>1</w:t>
      </w:r>
      <w:r w:rsidRPr="00064CD6">
        <w:rPr>
          <w:rFonts w:ascii="PermianSerifTypeface" w:hAnsi="PermianSerifTypeface"/>
          <w:sz w:val="24"/>
          <w:szCs w:val="24"/>
          <w:lang w:eastAsia="ro-MD"/>
        </w:rPr>
        <w:t>.</w:t>
      </w:r>
      <w:r w:rsidR="0007759D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r w:rsidR="00F74930" w:rsidRPr="00064CD6">
        <w:rPr>
          <w:rFonts w:ascii="PermianSerifTypeface" w:hAnsi="PermianSerifTypeface"/>
          <w:b/>
          <w:bCs/>
          <w:sz w:val="24"/>
          <w:szCs w:val="24"/>
          <w:lang w:eastAsia="ro-MD"/>
        </w:rPr>
        <w:t>ACCA (the Association of Chartered Certified Accountants)</w:t>
      </w:r>
      <w:r w:rsidR="00F74930" w:rsidRPr="00064CD6">
        <w:rPr>
          <w:rFonts w:ascii="PermianSerifTypeface" w:hAnsi="PermianSerifTypeface"/>
          <w:sz w:val="24"/>
          <w:szCs w:val="24"/>
          <w:lang w:eastAsia="ro-MD"/>
        </w:rPr>
        <w:t xml:space="preserve"> - </w:t>
      </w:r>
      <w:r w:rsidR="00036C4C" w:rsidRPr="00064CD6">
        <w:rPr>
          <w:rFonts w:ascii="PermianSerifTypeface" w:hAnsi="PermianSerifTypeface"/>
          <w:sz w:val="24"/>
          <w:szCs w:val="24"/>
          <w:lang w:val="ru-RU" w:eastAsia="ro-MD"/>
        </w:rPr>
        <w:t>Ассоциация</w:t>
      </w:r>
      <w:r w:rsidR="00036C4C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r w:rsidR="00036C4C" w:rsidRPr="00064CD6">
        <w:rPr>
          <w:rFonts w:ascii="PermianSerifTypeface" w:hAnsi="PermianSerifTypeface"/>
          <w:sz w:val="24"/>
          <w:szCs w:val="24"/>
          <w:lang w:val="ru-RU" w:eastAsia="ro-MD"/>
        </w:rPr>
        <w:t>дипломированных</w:t>
      </w:r>
      <w:r w:rsidR="00036C4C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r w:rsidR="003120B9" w:rsidRPr="00064CD6">
        <w:rPr>
          <w:rFonts w:ascii="PermianSerifTypeface" w:hAnsi="PermianSerifTypeface"/>
          <w:sz w:val="24"/>
          <w:szCs w:val="24"/>
          <w:lang w:val="ru-RU" w:eastAsia="ro-MD"/>
        </w:rPr>
        <w:t>сертифицированных</w:t>
      </w:r>
      <w:r w:rsidR="003120B9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proofErr w:type="gramStart"/>
      <w:r w:rsidR="00036C4C" w:rsidRPr="00064CD6">
        <w:rPr>
          <w:rFonts w:ascii="PermianSerifTypeface" w:hAnsi="PermianSerifTypeface"/>
          <w:sz w:val="24"/>
          <w:szCs w:val="24"/>
          <w:lang w:val="ru-RU" w:eastAsia="ro-MD"/>
        </w:rPr>
        <w:t>бухгалтеров</w:t>
      </w:r>
      <w:r w:rsidR="00F74930" w:rsidRPr="00064CD6">
        <w:rPr>
          <w:rFonts w:ascii="PermianSerifTypeface" w:hAnsi="PermianSerifTypeface"/>
          <w:sz w:val="24"/>
          <w:szCs w:val="24"/>
          <w:lang w:eastAsia="ro-MD"/>
        </w:rPr>
        <w:t>;</w:t>
      </w:r>
      <w:proofErr w:type="gramEnd"/>
    </w:p>
    <w:p w14:paraId="4D7C9005" w14:textId="6A7BDD8D" w:rsidR="00474C25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2.2.</w:t>
      </w:r>
      <w:r w:rsidR="00474C2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474C2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ACCA </w:t>
      </w:r>
      <w:proofErr w:type="spellStart"/>
      <w:r w:rsidR="00474C2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Qualification</w:t>
      </w:r>
      <w:proofErr w:type="spellEnd"/>
      <w:r w:rsidR="00474C2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– </w:t>
      </w:r>
      <w:r w:rsidR="00C8265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Дипломированный сертифицированный бухгалтер, </w:t>
      </w:r>
      <w:proofErr w:type="gramStart"/>
      <w:r w:rsidR="00C8265D" w:rsidRPr="00064CD6">
        <w:rPr>
          <w:rFonts w:ascii="PermianSerifTypeface" w:hAnsi="PermianSerifTypeface"/>
          <w:sz w:val="24"/>
          <w:szCs w:val="24"/>
          <w:lang w:val="ru-RU" w:eastAsia="ro-MD"/>
        </w:rPr>
        <w:t>квалификация</w:t>
      </w:r>
      <w:proofErr w:type="gramEnd"/>
      <w:r w:rsidR="00C8265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присвоенная ACCA</w:t>
      </w:r>
      <w:r w:rsidR="00474C2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;  </w:t>
      </w:r>
    </w:p>
    <w:p w14:paraId="4B210448" w14:textId="1079AF6E" w:rsidR="003F001C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b/>
          <w:bCs/>
          <w:sz w:val="24"/>
          <w:szCs w:val="24"/>
          <w:lang w:eastAsia="ro-MD"/>
        </w:rPr>
      </w:pPr>
      <w:r w:rsidRPr="00064CD6">
        <w:rPr>
          <w:rFonts w:ascii="PermianSerifTypeface" w:hAnsi="PermianSerifTypeface"/>
          <w:sz w:val="24"/>
          <w:szCs w:val="24"/>
          <w:lang w:eastAsia="ro-MD"/>
        </w:rPr>
        <w:t>2.3.</w:t>
      </w:r>
      <w:r w:rsidR="00C369A7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r w:rsidR="003F001C" w:rsidRPr="00064CD6">
        <w:rPr>
          <w:rFonts w:ascii="PermianSerifTypeface" w:hAnsi="PermianSerifTypeface"/>
          <w:b/>
          <w:bCs/>
          <w:sz w:val="24"/>
          <w:szCs w:val="24"/>
          <w:lang w:eastAsia="ro-MD"/>
        </w:rPr>
        <w:t>CAP (Certified Accountant Practitioner)</w:t>
      </w:r>
      <w:r w:rsidR="003F001C" w:rsidRPr="00064CD6">
        <w:rPr>
          <w:rFonts w:ascii="PermianSerifTypeface" w:hAnsi="PermianSerifTypeface"/>
          <w:b/>
          <w:bCs/>
          <w:color w:val="00B050"/>
          <w:sz w:val="24"/>
          <w:szCs w:val="24"/>
        </w:rPr>
        <w:t xml:space="preserve"> </w:t>
      </w:r>
      <w:r w:rsidR="003F001C" w:rsidRPr="00064CD6">
        <w:rPr>
          <w:rFonts w:ascii="PermianSerifTypeface" w:hAnsi="PermianSerifTypeface"/>
          <w:sz w:val="24"/>
          <w:szCs w:val="24"/>
          <w:lang w:eastAsia="ro-MD"/>
        </w:rPr>
        <w:t xml:space="preserve">– </w:t>
      </w:r>
      <w:r w:rsidR="005B1036" w:rsidRPr="00064CD6">
        <w:rPr>
          <w:rFonts w:ascii="PermianSerifTypeface" w:hAnsi="PermianSerifTypeface"/>
          <w:sz w:val="24"/>
          <w:szCs w:val="24"/>
          <w:lang w:val="ru-RU" w:eastAsia="ro-MD"/>
        </w:rPr>
        <w:t>Сертифицированный</w:t>
      </w:r>
      <w:r w:rsidR="005B1036" w:rsidRPr="00064CD6">
        <w:rPr>
          <w:rFonts w:ascii="PermianSerifTypeface" w:hAnsi="PermianSerifTypeface"/>
          <w:sz w:val="24"/>
          <w:szCs w:val="24"/>
          <w:lang w:eastAsia="ro-MD"/>
        </w:rPr>
        <w:t xml:space="preserve"> </w:t>
      </w:r>
      <w:r w:rsidR="005B1036" w:rsidRPr="00064CD6">
        <w:rPr>
          <w:rFonts w:ascii="PermianSerifTypeface" w:hAnsi="PermianSerifTypeface"/>
          <w:sz w:val="24"/>
          <w:szCs w:val="24"/>
          <w:lang w:val="ru-RU" w:eastAsia="ro-MD"/>
        </w:rPr>
        <w:t>бухгалтер</w:t>
      </w:r>
      <w:r w:rsidR="005B1036" w:rsidRPr="00064CD6">
        <w:rPr>
          <w:rFonts w:ascii="PermianSerifTypeface" w:hAnsi="PermianSerifTypeface"/>
          <w:sz w:val="24"/>
          <w:szCs w:val="24"/>
          <w:lang w:eastAsia="ro-MD"/>
        </w:rPr>
        <w:t>-</w:t>
      </w:r>
      <w:proofErr w:type="gramStart"/>
      <w:r w:rsidR="005B1036" w:rsidRPr="00064CD6">
        <w:rPr>
          <w:rFonts w:ascii="PermianSerifTypeface" w:hAnsi="PermianSerifTypeface"/>
          <w:sz w:val="24"/>
          <w:szCs w:val="24"/>
          <w:lang w:val="ru-RU" w:eastAsia="ro-MD"/>
        </w:rPr>
        <w:t>практик</w:t>
      </w:r>
      <w:r w:rsidR="00384022" w:rsidRPr="00064CD6">
        <w:rPr>
          <w:rFonts w:ascii="PermianSerifTypeface" w:hAnsi="PermianSerifTypeface"/>
          <w:sz w:val="24"/>
          <w:szCs w:val="24"/>
          <w:lang w:eastAsia="ro-MD"/>
        </w:rPr>
        <w:t>;</w:t>
      </w:r>
      <w:proofErr w:type="gramEnd"/>
      <w:r w:rsidR="003F001C" w:rsidRPr="00064CD6">
        <w:rPr>
          <w:rFonts w:ascii="PermianSerifTypeface" w:hAnsi="PermianSerifTypeface"/>
          <w:b/>
          <w:bCs/>
          <w:sz w:val="24"/>
          <w:szCs w:val="24"/>
          <w:lang w:eastAsia="ro-MD"/>
        </w:rPr>
        <w:t xml:space="preserve"> </w:t>
      </w:r>
    </w:p>
    <w:p w14:paraId="28E0BC86" w14:textId="04AC6E23" w:rsidR="00C369A7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  <w:r w:rsidRPr="00064CD6">
        <w:rPr>
          <w:rFonts w:ascii="PermianSerifTypeface" w:hAnsi="PermianSerifTypeface"/>
          <w:sz w:val="24"/>
          <w:szCs w:val="24"/>
          <w:lang w:eastAsia="ro-MD"/>
        </w:rPr>
        <w:lastRenderedPageBreak/>
        <w:t>2.4.</w:t>
      </w:r>
      <w:r w:rsidR="003F001C" w:rsidRPr="00064CD6">
        <w:rPr>
          <w:rFonts w:ascii="PermianSerifTypeface" w:hAnsi="PermianSerifTypeface"/>
          <w:b/>
          <w:bCs/>
          <w:sz w:val="24"/>
          <w:szCs w:val="24"/>
          <w:lang w:eastAsia="ro-MD"/>
        </w:rPr>
        <w:t xml:space="preserve"> </w:t>
      </w:r>
      <w:r w:rsidR="00C369A7" w:rsidRPr="00064CD6">
        <w:rPr>
          <w:rFonts w:ascii="PermianSerifTypeface" w:hAnsi="PermianSerifTypeface"/>
          <w:b/>
          <w:bCs/>
          <w:sz w:val="24"/>
          <w:szCs w:val="24"/>
          <w:lang w:eastAsia="ro-MD"/>
        </w:rPr>
        <w:t>CIPA (Certified International Professional Accountant)</w:t>
      </w:r>
      <w:r w:rsidR="00C369A7" w:rsidRPr="00064CD6">
        <w:rPr>
          <w:rFonts w:ascii="PermianSerifTypeface" w:hAnsi="PermianSerifTypeface"/>
          <w:sz w:val="24"/>
          <w:szCs w:val="24"/>
          <w:lang w:eastAsia="ro-MD"/>
        </w:rPr>
        <w:t xml:space="preserve"> - 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  <w:lang w:val="ru-RU"/>
        </w:rPr>
        <w:t>Сертифицированный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</w:rPr>
        <w:t xml:space="preserve"> 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  <w:lang w:val="ru-RU"/>
        </w:rPr>
        <w:t>международный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</w:rPr>
        <w:t xml:space="preserve"> 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  <w:lang w:val="ru-RU"/>
        </w:rPr>
        <w:t>профессиональный</w:t>
      </w:r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</w:rPr>
        <w:t xml:space="preserve"> </w:t>
      </w:r>
      <w:proofErr w:type="gramStart"/>
      <w:r w:rsidR="007D30A0" w:rsidRPr="00064CD6">
        <w:rPr>
          <w:rFonts w:ascii="PermianSerifTypeface" w:hAnsi="PermianSerifTypeface"/>
          <w:color w:val="1F1F1F"/>
          <w:sz w:val="24"/>
          <w:szCs w:val="24"/>
          <w:shd w:val="clear" w:color="auto" w:fill="FFFFFF"/>
          <w:lang w:val="ru-RU"/>
        </w:rPr>
        <w:t>бухгалтер</w:t>
      </w:r>
      <w:r w:rsidR="00C369A7" w:rsidRPr="00064CD6">
        <w:rPr>
          <w:rFonts w:ascii="PermianSerifTypeface" w:hAnsi="PermianSerifTypeface"/>
          <w:sz w:val="24"/>
          <w:szCs w:val="24"/>
          <w:lang w:eastAsia="ro-MD"/>
        </w:rPr>
        <w:t>;</w:t>
      </w:r>
      <w:proofErr w:type="gramEnd"/>
    </w:p>
    <w:p w14:paraId="7AC4ACF7" w14:textId="40339450" w:rsidR="00C369A7" w:rsidRPr="00064CD6" w:rsidRDefault="00B434EC" w:rsidP="00F74930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2.5.</w:t>
      </w:r>
      <w:r w:rsidR="00F74930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806433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Стандарты бухгалтерского учета – </w:t>
      </w:r>
      <w:r w:rsidR="00806433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имеет значение, определенное в ст. 3 Закона о бухгалтерском учете и финансовой отчетности </w:t>
      </w:r>
      <w:r w:rsidR="002660B5" w:rsidRPr="00064CD6">
        <w:rPr>
          <w:rFonts w:ascii="PermianSerifTypeface" w:hAnsi="PermianSerifTypeface"/>
          <w:sz w:val="24"/>
          <w:szCs w:val="24"/>
          <w:lang w:val="ru-RU" w:eastAsia="ro-MD"/>
        </w:rPr>
        <w:t>№</w:t>
      </w:r>
      <w:r w:rsidR="002660B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 </w:t>
      </w:r>
      <w:r w:rsidR="00540F21" w:rsidRPr="00064CD6">
        <w:rPr>
          <w:rFonts w:ascii="PermianSerifTypeface" w:hAnsi="PermianSerifTypeface"/>
          <w:sz w:val="24"/>
          <w:szCs w:val="24"/>
          <w:lang w:val="ru-RU" w:eastAsia="ro-MD"/>
        </w:rPr>
        <w:t>287/2017</w:t>
      </w:r>
      <w:r w:rsidR="00202FEC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66C02F2B" w14:textId="3132E247" w:rsidR="00481EA5" w:rsidRPr="00064CD6" w:rsidRDefault="00B434EC" w:rsidP="00F74930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2.6.</w:t>
      </w:r>
      <w:r w:rsidR="00481EA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2660B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Субъект финансового сектора – </w:t>
      </w:r>
      <w:r w:rsidR="002660B5" w:rsidRPr="00064CD6">
        <w:rPr>
          <w:rFonts w:ascii="PermianSerifTypeface" w:hAnsi="PermianSerifTypeface"/>
          <w:sz w:val="24"/>
          <w:szCs w:val="24"/>
          <w:lang w:val="ru-RU" w:eastAsia="ro-MD"/>
        </w:rPr>
        <w:t>имеет значение, определенное в ст. 3 Закона о деятельности банков № 202/2017</w:t>
      </w:r>
      <w:r w:rsidR="00481EA5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075A333F" w14:textId="00A5336C" w:rsidR="00C962B5" w:rsidRPr="00064CD6" w:rsidRDefault="00C962B5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3.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7E274C" w:rsidRPr="00064CD6">
        <w:rPr>
          <w:rFonts w:ascii="PermianSerifTypeface" w:hAnsi="PermianSerifTypeface"/>
          <w:sz w:val="24"/>
          <w:szCs w:val="24"/>
          <w:lang w:val="ru-RU"/>
        </w:rPr>
        <w:t xml:space="preserve">Аудиторский субъект, который </w:t>
      </w:r>
      <w:r w:rsidR="00BB77EB">
        <w:rPr>
          <w:rFonts w:ascii="PermianSerifTypeface" w:hAnsi="PermianSerifTypeface"/>
          <w:sz w:val="24"/>
          <w:szCs w:val="24"/>
          <w:lang w:val="ru-RU"/>
        </w:rPr>
        <w:t>будет</w:t>
      </w:r>
      <w:r w:rsidR="00BB77EB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E274C" w:rsidRPr="00064CD6">
        <w:rPr>
          <w:rFonts w:ascii="PermianSerifTypeface" w:hAnsi="PermianSerifTypeface"/>
          <w:sz w:val="24"/>
          <w:szCs w:val="24"/>
          <w:lang w:val="ru-RU"/>
        </w:rPr>
        <w:t xml:space="preserve">осуществлять аудит </w:t>
      </w:r>
      <w:r w:rsidR="00BB77EB" w:rsidRPr="00BB77EB">
        <w:rPr>
          <w:rFonts w:ascii="PermianSerifTypeface" w:hAnsi="PermianSerifTypeface"/>
          <w:sz w:val="24"/>
          <w:szCs w:val="24"/>
          <w:lang w:val="ru-RU"/>
        </w:rPr>
        <w:t>небанковск</w:t>
      </w:r>
      <w:r w:rsidR="00BB77EB">
        <w:rPr>
          <w:rFonts w:ascii="PermianSerifTypeface" w:hAnsi="PermianSerifTypeface"/>
          <w:sz w:val="24"/>
          <w:szCs w:val="24"/>
          <w:lang w:val="ru-RU"/>
        </w:rPr>
        <w:t>ого</w:t>
      </w:r>
      <w:r w:rsidR="00BB77EB" w:rsidRPr="00BB77EB">
        <w:rPr>
          <w:rFonts w:ascii="PermianSerifTypeface" w:hAnsi="PermianSerifTypeface"/>
          <w:sz w:val="24"/>
          <w:szCs w:val="24"/>
          <w:lang w:val="ru-RU"/>
        </w:rPr>
        <w:t xml:space="preserve"> поставщик</w:t>
      </w:r>
      <w:r w:rsidR="00BB77EB">
        <w:rPr>
          <w:rFonts w:ascii="PermianSerifTypeface" w:hAnsi="PermianSerifTypeface"/>
          <w:sz w:val="24"/>
          <w:szCs w:val="24"/>
          <w:lang w:val="ru-RU"/>
        </w:rPr>
        <w:t>а</w:t>
      </w:r>
      <w:r w:rsidR="00BB77EB" w:rsidRPr="00BB77EB">
        <w:rPr>
          <w:rFonts w:ascii="PermianSerifTypeface" w:hAnsi="PermianSerifTypeface"/>
          <w:sz w:val="24"/>
          <w:szCs w:val="24"/>
          <w:lang w:val="ru-RU"/>
        </w:rPr>
        <w:t xml:space="preserve"> платежных услуг</w:t>
      </w:r>
      <w:r w:rsidR="007E274C" w:rsidRPr="00064CD6">
        <w:rPr>
          <w:rFonts w:ascii="PermianSerifTypeface" w:hAnsi="PermianSerifTypeface"/>
          <w:sz w:val="24"/>
          <w:szCs w:val="24"/>
          <w:lang w:val="ru-RU"/>
        </w:rPr>
        <w:t>, утвержд</w:t>
      </w:r>
      <w:r w:rsidR="00BB77EB">
        <w:rPr>
          <w:rFonts w:ascii="PermianSerifTypeface" w:hAnsi="PermianSerifTypeface"/>
          <w:sz w:val="24"/>
          <w:szCs w:val="24"/>
          <w:lang w:val="ru-RU"/>
        </w:rPr>
        <w:t>ается</w:t>
      </w:r>
      <w:r w:rsidR="007E274C" w:rsidRPr="00064CD6">
        <w:rPr>
          <w:rFonts w:ascii="PermianSerifTypeface" w:hAnsi="PermianSerifTypeface"/>
          <w:sz w:val="24"/>
          <w:szCs w:val="24"/>
          <w:lang w:val="ru-RU"/>
        </w:rPr>
        <w:t xml:space="preserve"> Национальным банком Молдовы до заключения с </w:t>
      </w:r>
      <w:r w:rsidR="004C6B8F" w:rsidRPr="00064CD6">
        <w:rPr>
          <w:rFonts w:ascii="PermianSerifTypeface" w:hAnsi="PermianSerifTypeface"/>
          <w:sz w:val="24"/>
          <w:szCs w:val="24"/>
          <w:lang w:val="ru-RU"/>
        </w:rPr>
        <w:t>небанковским поставщиком платежных услуг</w:t>
      </w:r>
      <w:r w:rsidR="007E274C" w:rsidRPr="00064CD6">
        <w:rPr>
          <w:rFonts w:ascii="PermianSerifTypeface" w:hAnsi="PermianSerifTypeface"/>
          <w:sz w:val="24"/>
          <w:szCs w:val="24"/>
          <w:lang w:val="ru-RU"/>
        </w:rPr>
        <w:t xml:space="preserve"> договора на проведение аудита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7DB1A08B" w14:textId="5CB269C9" w:rsidR="00D82640" w:rsidRPr="00064CD6" w:rsidRDefault="00C962B5" w:rsidP="00C369A7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4.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A12339" w:rsidRPr="00064CD6">
        <w:rPr>
          <w:rFonts w:ascii="PermianSerifTypeface" w:hAnsi="PermianSerifTypeface"/>
          <w:sz w:val="24"/>
          <w:szCs w:val="24"/>
          <w:lang w:val="ru-RU"/>
        </w:rPr>
        <w:t xml:space="preserve">Аудиторский </w:t>
      </w:r>
      <w:r w:rsidR="006132D4" w:rsidRPr="00064CD6">
        <w:rPr>
          <w:rFonts w:ascii="PermianSerifTypeface" w:hAnsi="PermianSerifTypeface"/>
          <w:sz w:val="24"/>
          <w:szCs w:val="24"/>
          <w:lang w:val="ru-RU"/>
        </w:rPr>
        <w:t>субъект осуществляет</w:t>
      </w:r>
      <w:r w:rsidR="00A12339" w:rsidRPr="00064CD6">
        <w:rPr>
          <w:rFonts w:ascii="PermianSerifTypeface" w:hAnsi="PermianSerifTypeface"/>
          <w:sz w:val="24"/>
          <w:szCs w:val="24"/>
          <w:lang w:val="ru-RU"/>
        </w:rPr>
        <w:t xml:space="preserve"> аудит финансовых отч</w:t>
      </w:r>
      <w:r w:rsidR="00EA2579" w:rsidRPr="00064CD6">
        <w:rPr>
          <w:rFonts w:ascii="PermianSerifTypeface" w:hAnsi="PermianSerifTypeface"/>
          <w:sz w:val="24"/>
          <w:szCs w:val="24"/>
          <w:lang w:val="ru-RU"/>
        </w:rPr>
        <w:t>ё</w:t>
      </w:r>
      <w:r w:rsidR="00A12339" w:rsidRPr="00064CD6">
        <w:rPr>
          <w:rFonts w:ascii="PermianSerifTypeface" w:hAnsi="PermianSerifTypeface"/>
          <w:sz w:val="24"/>
          <w:szCs w:val="24"/>
          <w:lang w:val="ru-RU"/>
        </w:rPr>
        <w:t>тов небанковских поставщиков платежных услуг в соответствии с законодательством в области аудита</w:t>
      </w:r>
      <w:r w:rsidR="00A12339" w:rsidRPr="00FD1BB1">
        <w:rPr>
          <w:rFonts w:ascii="PermianSerifTypeface" w:hAnsi="PermianSerifTypeface"/>
          <w:color w:val="FF0000"/>
          <w:sz w:val="24"/>
          <w:szCs w:val="24"/>
          <w:lang w:val="ru-RU"/>
        </w:rPr>
        <w:t>,</w:t>
      </w:r>
      <w:r w:rsidR="00A12339" w:rsidRPr="00FD1BB1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A12339" w:rsidRPr="00064CD6">
        <w:rPr>
          <w:rFonts w:ascii="PermianSerifTypeface" w:hAnsi="PermianSerifTypeface"/>
          <w:sz w:val="24"/>
          <w:szCs w:val="24"/>
          <w:lang w:val="ru-RU"/>
        </w:rPr>
        <w:t>Закон</w:t>
      </w:r>
      <w:r w:rsidR="006132D4" w:rsidRPr="00064CD6">
        <w:rPr>
          <w:rFonts w:ascii="PermianSerifTypeface" w:hAnsi="PermianSerifTypeface"/>
          <w:sz w:val="24"/>
          <w:szCs w:val="24"/>
          <w:lang w:val="ru-RU"/>
        </w:rPr>
        <w:t>ом</w:t>
      </w:r>
      <w:r w:rsidR="00A12339" w:rsidRPr="00064CD6">
        <w:rPr>
          <w:rFonts w:ascii="PermianSerifTypeface" w:hAnsi="PermianSerifTypeface"/>
          <w:sz w:val="24"/>
          <w:szCs w:val="24"/>
          <w:lang w:val="ru-RU"/>
        </w:rPr>
        <w:t xml:space="preserve"> № 114/2012 и </w:t>
      </w:r>
      <w:r w:rsidR="006132D4" w:rsidRPr="00064CD6">
        <w:rPr>
          <w:rFonts w:ascii="PermianSerifTypeface" w:hAnsi="PermianSerifTypeface"/>
          <w:sz w:val="24"/>
          <w:szCs w:val="24"/>
          <w:lang w:val="ru-RU"/>
        </w:rPr>
        <w:t>настоящим регламентом</w:t>
      </w:r>
      <w:r w:rsidR="006F4F33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1C603052" w14:textId="77777777" w:rsidR="00212B57" w:rsidRPr="00064CD6" w:rsidRDefault="00212B57" w:rsidP="00C85C59">
      <w:pPr>
        <w:spacing w:after="0" w:line="240" w:lineRule="auto"/>
        <w:ind w:firstLine="567"/>
        <w:jc w:val="center"/>
        <w:rPr>
          <w:rFonts w:ascii="PermianSerifTypeface" w:hAnsi="PermianSerifTypeface"/>
          <w:sz w:val="24"/>
          <w:szCs w:val="24"/>
          <w:lang w:val="ro-RO"/>
        </w:rPr>
      </w:pPr>
    </w:p>
    <w:p w14:paraId="7980367A" w14:textId="228744B4" w:rsidR="00C5425B" w:rsidRPr="00064CD6" w:rsidRDefault="00D85B68" w:rsidP="00C85C59">
      <w:pPr>
        <w:spacing w:after="0" w:line="240" w:lineRule="auto"/>
        <w:ind w:firstLine="567"/>
        <w:jc w:val="center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/>
        </w:rPr>
        <w:br/>
      </w:r>
      <w:r w:rsidR="006132D4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Глава </w:t>
      </w:r>
      <w:r w:rsidR="006132D4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II</w:t>
      </w:r>
    </w:p>
    <w:p w14:paraId="38B880C8" w14:textId="2E083EF8" w:rsidR="00C962B5" w:rsidRPr="00064CD6" w:rsidRDefault="00BA6447" w:rsidP="00C85C59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ТРЕБОВАНИЯ К СУБЪЕКТ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У</w:t>
      </w:r>
      <w:r w:rsidR="00120453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 xml:space="preserve"> АУДИТ</w:t>
      </w:r>
      <w:r w:rsidR="00120453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А</w:t>
      </w:r>
    </w:p>
    <w:p w14:paraId="238FF4C0" w14:textId="77777777" w:rsidR="00540F21" w:rsidRPr="00064CD6" w:rsidRDefault="00540F21" w:rsidP="00C85C59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 w:eastAsia="ro-MD"/>
        </w:rPr>
      </w:pPr>
    </w:p>
    <w:p w14:paraId="4525504B" w14:textId="1A7B0893" w:rsidR="00540F21" w:rsidRPr="00064CD6" w:rsidRDefault="00C863D8" w:rsidP="00540F21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Часть </w:t>
      </w: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</w:t>
      </w:r>
    </w:p>
    <w:p w14:paraId="4D491747" w14:textId="0C13F0E5" w:rsidR="00C863D8" w:rsidRPr="00064CD6" w:rsidRDefault="00C863D8" w:rsidP="00540F21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Требования к субъекту аудита и </w:t>
      </w:r>
      <w:r w:rsidR="00CD1D6C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группа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 субъекта аудита</w:t>
      </w:r>
    </w:p>
    <w:p w14:paraId="38FA201B" w14:textId="77777777" w:rsidR="00C863D8" w:rsidRPr="00064CD6" w:rsidRDefault="00C863D8" w:rsidP="00540F21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</w:p>
    <w:p w14:paraId="131CF355" w14:textId="1AAF4469" w:rsidR="00747048" w:rsidRPr="00064CD6" w:rsidRDefault="006A0073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5</w:t>
      </w:r>
      <w:r w:rsidR="00C5425B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.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747048" w:rsidRPr="00064CD6">
        <w:rPr>
          <w:rFonts w:ascii="PermianSerifTypeface" w:hAnsi="PermianSerifTypeface"/>
          <w:sz w:val="24"/>
          <w:szCs w:val="24"/>
          <w:lang w:val="ru-RU"/>
        </w:rPr>
        <w:t xml:space="preserve">Национальный банк Молдовы утверждает </w:t>
      </w:r>
      <w:r w:rsidR="006E66E2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 </w:t>
      </w:r>
      <w:r w:rsidR="00747048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6E66E2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747048" w:rsidRPr="00064CD6">
        <w:rPr>
          <w:rFonts w:ascii="PermianSerifTypeface" w:hAnsi="PermianSerifTypeface"/>
          <w:sz w:val="24"/>
          <w:szCs w:val="24"/>
          <w:lang w:val="ru-RU"/>
        </w:rPr>
        <w:t xml:space="preserve"> для осуществления аудита</w:t>
      </w:r>
      <w:r w:rsidR="00261802" w:rsidRPr="00064CD6">
        <w:rPr>
          <w:rFonts w:ascii="PermianSerifTypeface" w:hAnsi="PermianSerifTypeface"/>
          <w:sz w:val="24"/>
          <w:szCs w:val="24"/>
          <w:lang w:val="ru-RU"/>
        </w:rPr>
        <w:t xml:space="preserve"> финансовых </w:t>
      </w:r>
      <w:r w:rsidR="006E66E2" w:rsidRPr="00064CD6">
        <w:rPr>
          <w:rFonts w:ascii="PermianSerifTypeface" w:hAnsi="PermianSerifTypeface"/>
          <w:sz w:val="24"/>
          <w:szCs w:val="24"/>
          <w:lang w:val="ru-RU"/>
        </w:rPr>
        <w:t>отчётов</w:t>
      </w:r>
      <w:r w:rsidR="00261802" w:rsidRPr="00064CD6">
        <w:rPr>
          <w:rFonts w:ascii="PermianSerifTypeface" w:hAnsi="PermianSerifTypeface"/>
          <w:sz w:val="24"/>
          <w:szCs w:val="24"/>
          <w:lang w:val="ru-RU"/>
        </w:rPr>
        <w:t xml:space="preserve"> небанковских поставщиков платежных услуг</w:t>
      </w:r>
      <w:r w:rsidR="00747048" w:rsidRPr="00064CD6">
        <w:rPr>
          <w:rFonts w:ascii="PermianSerifTypeface" w:hAnsi="PermianSerifTypeface"/>
          <w:sz w:val="24"/>
          <w:szCs w:val="24"/>
          <w:lang w:val="ru-RU"/>
        </w:rPr>
        <w:t>, котор</w:t>
      </w:r>
      <w:r w:rsidR="006E66E2" w:rsidRPr="00064CD6">
        <w:rPr>
          <w:rFonts w:ascii="PermianSerifTypeface" w:hAnsi="PermianSerifTypeface"/>
          <w:sz w:val="24"/>
          <w:szCs w:val="24"/>
          <w:lang w:val="ru-RU"/>
        </w:rPr>
        <w:t>ый</w:t>
      </w:r>
      <w:r w:rsidR="00747048" w:rsidRPr="00064CD6">
        <w:rPr>
          <w:rFonts w:ascii="PermianSerifTypeface" w:hAnsi="PermianSerifTypeface"/>
          <w:sz w:val="24"/>
          <w:szCs w:val="24"/>
          <w:lang w:val="ru-RU"/>
        </w:rPr>
        <w:t xml:space="preserve"> совокупно выполняет следующие критерии:</w:t>
      </w:r>
    </w:p>
    <w:p w14:paraId="51893F1E" w14:textId="31056021" w:rsidR="00C5425B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5.1.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094728" w:rsidRPr="00064CD6">
        <w:rPr>
          <w:rFonts w:ascii="PermianSerifTypeface" w:hAnsi="PermianSerifTypeface"/>
          <w:sz w:val="24"/>
          <w:szCs w:val="24"/>
          <w:lang w:val="ru-RU"/>
        </w:rPr>
        <w:t xml:space="preserve">Имеет минимум </w:t>
      </w:r>
      <w:r w:rsidR="00EA2579">
        <w:rPr>
          <w:rFonts w:ascii="PermianSerifTypeface" w:hAnsi="PermianSerifTypeface"/>
          <w:sz w:val="24"/>
          <w:szCs w:val="24"/>
          <w:lang w:val="ru-RU"/>
        </w:rPr>
        <w:t>3</w:t>
      </w:r>
      <w:r w:rsidR="00EA2579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94728" w:rsidRPr="00064CD6">
        <w:rPr>
          <w:rFonts w:ascii="PermianSerifTypeface" w:hAnsi="PermianSerifTypeface"/>
          <w:sz w:val="24"/>
          <w:szCs w:val="24"/>
          <w:lang w:val="ru-RU"/>
        </w:rPr>
        <w:t>года опыта работы в области аудита финансовых отч</w:t>
      </w:r>
      <w:r w:rsidR="00EA2579" w:rsidRPr="00064CD6">
        <w:rPr>
          <w:rFonts w:ascii="PermianSerifTypeface" w:hAnsi="PermianSerifTypeface"/>
          <w:sz w:val="24"/>
          <w:szCs w:val="24"/>
          <w:lang w:val="ru-RU"/>
        </w:rPr>
        <w:t>ё</w:t>
      </w:r>
      <w:r w:rsidR="00094728" w:rsidRPr="00064CD6">
        <w:rPr>
          <w:rFonts w:ascii="PermianSerifTypeface" w:hAnsi="PermianSerifTypeface"/>
          <w:sz w:val="24"/>
          <w:szCs w:val="24"/>
          <w:lang w:val="ru-RU"/>
        </w:rPr>
        <w:t>тов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4C0B3F9E" w14:textId="36459892" w:rsidR="00094728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5.2.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EA2579">
        <w:rPr>
          <w:rFonts w:ascii="PermianSerifTypeface" w:hAnsi="PermianSerifTypeface"/>
          <w:sz w:val="24"/>
          <w:szCs w:val="24"/>
          <w:lang w:val="ru-RU"/>
        </w:rPr>
        <w:t>Н</w:t>
      </w:r>
      <w:r w:rsidR="00094728" w:rsidRPr="00064CD6">
        <w:rPr>
          <w:rFonts w:ascii="PermianSerifTypeface" w:hAnsi="PermianSerifTypeface"/>
          <w:sz w:val="24"/>
          <w:szCs w:val="24"/>
          <w:lang w:val="ru-RU"/>
        </w:rPr>
        <w:t xml:space="preserve">е было отозвано утверждение </w:t>
      </w:r>
      <w:r w:rsidR="00576373" w:rsidRPr="00064CD6">
        <w:rPr>
          <w:rFonts w:ascii="PermianSerifTypeface" w:hAnsi="PermianSerifTypeface"/>
          <w:sz w:val="24"/>
          <w:szCs w:val="24"/>
          <w:lang w:val="ru-RU"/>
        </w:rPr>
        <w:t>на проведение аудита надзорным органом по причине несоблюдения положений законодательства в банковской и/или небанковской сфере за последние 3 года</w:t>
      </w:r>
      <w:r w:rsidR="00CD1D6C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06984D7B" w14:textId="13E6B2A2" w:rsidR="00C5425B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5.3.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CD1D6C" w:rsidRPr="00064CD6">
        <w:rPr>
          <w:rFonts w:ascii="PermianSerifTypeface" w:hAnsi="PermianSerifTypeface"/>
          <w:sz w:val="24"/>
          <w:szCs w:val="24"/>
          <w:lang w:val="ru-RU"/>
        </w:rPr>
        <w:t xml:space="preserve">Группа </w:t>
      </w:r>
      <w:r w:rsidR="00120453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CD1D6C" w:rsidRPr="00064CD6">
        <w:rPr>
          <w:rFonts w:ascii="PermianSerifTypeface" w:hAnsi="PermianSerifTypeface"/>
          <w:sz w:val="24"/>
          <w:szCs w:val="24"/>
          <w:lang w:val="ru-RU"/>
        </w:rPr>
        <w:t xml:space="preserve">аудита, назначенная для </w:t>
      </w:r>
      <w:r w:rsidR="00237D72" w:rsidRPr="00064CD6">
        <w:rPr>
          <w:rFonts w:ascii="PermianSerifTypeface" w:hAnsi="PermianSerifTypeface"/>
          <w:sz w:val="24"/>
          <w:szCs w:val="24"/>
          <w:lang w:val="ru-RU"/>
        </w:rPr>
        <w:t>соответствующе</w:t>
      </w:r>
      <w:r w:rsidR="00237D72">
        <w:rPr>
          <w:rFonts w:ascii="PermianSerifTypeface" w:hAnsi="PermianSerifTypeface"/>
          <w:sz w:val="24"/>
          <w:szCs w:val="24"/>
          <w:lang w:val="ru-RU"/>
        </w:rPr>
        <w:t>й</w:t>
      </w:r>
      <w:r w:rsidR="00237D72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37D72" w:rsidRPr="00064CD6">
        <w:rPr>
          <w:rFonts w:ascii="PermianSerifTypeface" w:hAnsi="PermianSerifTypeface"/>
          <w:sz w:val="24"/>
          <w:szCs w:val="24"/>
          <w:lang w:val="ru-RU" w:eastAsia="ro-MD"/>
        </w:rPr>
        <w:t>аудиторской миссии</w:t>
      </w:r>
      <w:r w:rsidR="00CD1D6C" w:rsidRPr="00064CD6">
        <w:rPr>
          <w:rFonts w:ascii="PermianSerifTypeface" w:hAnsi="PermianSerifTypeface"/>
          <w:sz w:val="24"/>
          <w:szCs w:val="24"/>
          <w:lang w:val="ru-RU"/>
        </w:rPr>
        <w:t>, удовлетворяет следующие условия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>:</w:t>
      </w:r>
    </w:p>
    <w:p w14:paraId="5BFC72A0" w14:textId="0904E80E" w:rsidR="00AD5C7B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5.3.1.</w:t>
      </w:r>
      <w:r w:rsidR="00C5425B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AD5C7B" w:rsidRPr="00064CD6">
        <w:rPr>
          <w:rFonts w:ascii="PermianSerifTypeface" w:hAnsi="PermianSerifTypeface"/>
          <w:sz w:val="24"/>
          <w:szCs w:val="24"/>
          <w:lang w:val="ru-RU"/>
        </w:rPr>
        <w:t xml:space="preserve">не менее 1/3 группы аудиторского субъекта имеет </w:t>
      </w:r>
      <w:r w:rsidR="006E1931" w:rsidRPr="006E1931">
        <w:rPr>
          <w:rFonts w:ascii="PermianSerifTypeface" w:hAnsi="PermianSerifTypeface"/>
          <w:sz w:val="24"/>
          <w:szCs w:val="24"/>
          <w:lang w:val="ru-RU"/>
        </w:rPr>
        <w:t xml:space="preserve">не менее 3 лет </w:t>
      </w:r>
      <w:r w:rsidR="00AD5C7B" w:rsidRPr="00064CD6">
        <w:rPr>
          <w:rFonts w:ascii="PermianSerifTypeface" w:hAnsi="PermianSerifTypeface"/>
          <w:sz w:val="24"/>
          <w:szCs w:val="24"/>
          <w:lang w:val="ru-RU"/>
        </w:rPr>
        <w:t>опыт</w:t>
      </w:r>
      <w:r w:rsidR="006E1931">
        <w:rPr>
          <w:rFonts w:ascii="PermianSerifTypeface" w:hAnsi="PermianSerifTypeface"/>
          <w:sz w:val="24"/>
          <w:szCs w:val="24"/>
          <w:lang w:val="ru-RU"/>
        </w:rPr>
        <w:t>а</w:t>
      </w:r>
      <w:r w:rsidR="00AD5C7B" w:rsidRPr="00064CD6">
        <w:rPr>
          <w:rFonts w:ascii="PermianSerifTypeface" w:hAnsi="PermianSerifTypeface"/>
          <w:sz w:val="24"/>
          <w:szCs w:val="24"/>
          <w:lang w:val="ru-RU"/>
        </w:rPr>
        <w:t xml:space="preserve"> в области аудита финансовых </w:t>
      </w:r>
      <w:r w:rsidR="00F61CEF" w:rsidRPr="00064CD6">
        <w:rPr>
          <w:rFonts w:ascii="PermianSerifTypeface" w:hAnsi="PermianSerifTypeface"/>
          <w:sz w:val="24"/>
          <w:szCs w:val="24"/>
          <w:lang w:val="ru-RU"/>
        </w:rPr>
        <w:t>отч</w:t>
      </w:r>
      <w:r w:rsidR="00F61CEF">
        <w:rPr>
          <w:rFonts w:ascii="PermianSerifTypeface" w:hAnsi="PermianSerifTypeface"/>
          <w:sz w:val="24"/>
          <w:szCs w:val="24"/>
          <w:lang w:val="ru-RU"/>
        </w:rPr>
        <w:t>ё</w:t>
      </w:r>
      <w:r w:rsidR="00F61CEF" w:rsidRPr="00064CD6">
        <w:rPr>
          <w:rFonts w:ascii="PermianSerifTypeface" w:hAnsi="PermianSerifTypeface"/>
          <w:sz w:val="24"/>
          <w:szCs w:val="24"/>
          <w:lang w:val="ru-RU"/>
        </w:rPr>
        <w:t>тов</w:t>
      </w:r>
      <w:r w:rsidR="00AD5C7B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15D2952C" w14:textId="1404C3B8" w:rsidR="006A0FED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/>
        </w:rPr>
        <w:t>5.3.2.</w:t>
      </w:r>
      <w:r w:rsidR="006A0FED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AD5C7B" w:rsidRPr="00064CD6">
        <w:rPr>
          <w:rFonts w:ascii="PermianSerifTypeface" w:hAnsi="PermianSerifTypeface"/>
          <w:sz w:val="24"/>
          <w:szCs w:val="24"/>
          <w:lang w:val="ru-RU"/>
        </w:rPr>
        <w:t xml:space="preserve">не менее одного аудитора располагает </w:t>
      </w:r>
      <w:r w:rsidR="006E1931" w:rsidRPr="00D04150">
        <w:rPr>
          <w:rFonts w:ascii="PermianSerifTypeface" w:hAnsi="PermianSerifTypeface"/>
          <w:sz w:val="24"/>
          <w:szCs w:val="24"/>
          <w:lang w:val="ru-RU"/>
        </w:rPr>
        <w:t>одним из следующих квалифицированных сертификатов бухгалтера</w:t>
      </w:r>
      <w:r w:rsidR="006E1931" w:rsidRPr="006E1931">
        <w:rPr>
          <w:rFonts w:ascii="PermianSerifTypeface" w:hAnsi="PermianSerifTypeface"/>
          <w:sz w:val="24"/>
          <w:szCs w:val="24"/>
          <w:lang w:val="ru-RU"/>
        </w:rPr>
        <w:t>:</w:t>
      </w:r>
      <w:r w:rsidR="006E1931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C201A" w:rsidRPr="00064CD6">
        <w:rPr>
          <w:rFonts w:ascii="PermianSerifTypeface" w:hAnsi="PermianSerifTypeface"/>
          <w:sz w:val="24"/>
          <w:szCs w:val="24"/>
          <w:lang w:val="ro-MD" w:eastAsia="ro-MD"/>
        </w:rPr>
        <w:t xml:space="preserve">ACCA </w:t>
      </w:r>
      <w:proofErr w:type="spellStart"/>
      <w:r w:rsidR="002C201A" w:rsidRPr="00064CD6">
        <w:rPr>
          <w:rFonts w:ascii="PermianSerifTypeface" w:hAnsi="PermianSerifTypeface"/>
          <w:sz w:val="24"/>
          <w:szCs w:val="24"/>
          <w:lang w:val="ro-MD" w:eastAsia="ro-MD"/>
        </w:rPr>
        <w:t>Qualification</w:t>
      </w:r>
      <w:proofErr w:type="spellEnd"/>
      <w:r w:rsidR="002C201A" w:rsidRPr="00064CD6">
        <w:rPr>
          <w:rFonts w:ascii="PermianSerifTypeface" w:hAnsi="PermianSerifTypeface"/>
          <w:sz w:val="24"/>
          <w:szCs w:val="24"/>
          <w:lang w:val="ro-MD" w:eastAsia="ro-MD"/>
        </w:rPr>
        <w:t>, CIPA, CAP</w:t>
      </w:r>
      <w:r w:rsidR="006A0FED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516FB89B" w14:textId="21A7C47C" w:rsidR="00E46466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5.3.3.</w:t>
      </w:r>
      <w:r w:rsidR="006A0FED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E46466" w:rsidRPr="00064CD6">
        <w:rPr>
          <w:rFonts w:ascii="PermianSerifTypeface" w:hAnsi="PermianSerifTypeface"/>
          <w:sz w:val="24"/>
          <w:szCs w:val="24"/>
          <w:lang w:val="ru-RU"/>
        </w:rPr>
        <w:t xml:space="preserve">не менее одного члена группы </w:t>
      </w:r>
      <w:r w:rsidR="00120453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E46466" w:rsidRPr="00064CD6">
        <w:rPr>
          <w:rFonts w:ascii="PermianSerifTypeface" w:hAnsi="PermianSerifTypeface"/>
          <w:sz w:val="24"/>
          <w:szCs w:val="24"/>
          <w:lang w:val="ru-RU"/>
        </w:rPr>
        <w:t xml:space="preserve">аудита имеет не </w:t>
      </w:r>
      <w:proofErr w:type="gramStart"/>
      <w:r w:rsidR="00E46466" w:rsidRPr="00064CD6">
        <w:rPr>
          <w:rFonts w:ascii="PermianSerifTypeface" w:hAnsi="PermianSerifTypeface"/>
          <w:sz w:val="24"/>
          <w:szCs w:val="24"/>
          <w:lang w:val="ru-RU"/>
        </w:rPr>
        <w:t xml:space="preserve">менее </w:t>
      </w:r>
      <w:r w:rsidR="00D36BB1">
        <w:rPr>
          <w:rFonts w:ascii="PermianSerifTypeface" w:hAnsi="PermianSerifTypeface"/>
          <w:sz w:val="24"/>
          <w:szCs w:val="24"/>
          <w:lang w:val="ro-RO"/>
        </w:rPr>
        <w:t xml:space="preserve"> 1</w:t>
      </w:r>
      <w:proofErr w:type="gramEnd"/>
      <w:r w:rsidR="00D36BB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E46466" w:rsidRPr="00064CD6">
        <w:rPr>
          <w:rFonts w:ascii="PermianSerifTypeface" w:hAnsi="PermianSerifTypeface"/>
          <w:sz w:val="24"/>
          <w:szCs w:val="24"/>
          <w:lang w:val="ru-RU"/>
        </w:rPr>
        <w:t>год</w:t>
      </w:r>
      <w:r w:rsidR="00237D72">
        <w:rPr>
          <w:rFonts w:ascii="PermianSerifTypeface" w:hAnsi="PermianSerifTypeface"/>
          <w:sz w:val="24"/>
          <w:szCs w:val="24"/>
          <w:lang w:val="ru-RU"/>
        </w:rPr>
        <w:t>а</w:t>
      </w:r>
      <w:r w:rsidR="00E46466" w:rsidRPr="00064CD6">
        <w:rPr>
          <w:rFonts w:ascii="PermianSerifTypeface" w:hAnsi="PermianSerifTypeface"/>
          <w:sz w:val="24"/>
          <w:szCs w:val="24"/>
          <w:lang w:val="ru-RU"/>
        </w:rPr>
        <w:t xml:space="preserve"> в области аудита </w:t>
      </w:r>
      <w:r w:rsidR="00D753F1" w:rsidRPr="00064CD6">
        <w:rPr>
          <w:rFonts w:ascii="PermianSerifTypeface" w:hAnsi="PermianSerifTypeface"/>
          <w:sz w:val="24"/>
          <w:szCs w:val="24"/>
          <w:lang w:val="ru-RU"/>
        </w:rPr>
        <w:t>субъектов финансового сектора;</w:t>
      </w:r>
    </w:p>
    <w:p w14:paraId="5F89C3E0" w14:textId="398C2841" w:rsidR="003A5158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5.4.</w:t>
      </w:r>
      <w:r w:rsidR="003A69C7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485268" w:rsidRPr="00064CD6">
        <w:rPr>
          <w:rFonts w:ascii="PermianSerifTypeface" w:hAnsi="PermianSerifTypeface"/>
          <w:sz w:val="24"/>
          <w:szCs w:val="24"/>
          <w:lang w:val="ru-RU" w:eastAsia="ro-MD"/>
        </w:rPr>
        <w:t>В течение последних 3 лет до подачи заявления</w:t>
      </w:r>
      <w:r w:rsidR="00237D72" w:rsidRPr="00FD1BB1">
        <w:rPr>
          <w:rFonts w:ascii="PermianSerifTypeface" w:hAnsi="PermianSerifTypeface"/>
          <w:color w:val="FF0000"/>
          <w:sz w:val="24"/>
          <w:szCs w:val="24"/>
          <w:lang w:val="ru-RU" w:eastAsia="ro-MD"/>
        </w:rPr>
        <w:t>,</w:t>
      </w:r>
      <w:r w:rsidR="0048526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к субъекту аудита/членам группы субъекта </w:t>
      </w:r>
      <w:proofErr w:type="gramStart"/>
      <w:r w:rsidR="00485268" w:rsidRPr="00064CD6">
        <w:rPr>
          <w:rFonts w:ascii="PermianSerifTypeface" w:hAnsi="PermianSerifTypeface"/>
          <w:sz w:val="24"/>
          <w:szCs w:val="24"/>
          <w:lang w:val="ru-RU" w:eastAsia="ro-MD"/>
        </w:rPr>
        <w:t>аудита</w:t>
      </w:r>
      <w:proofErr w:type="gramEnd"/>
      <w:r w:rsidR="0048526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назначенным для соответствующей аудиторской миссии, 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 были применены дисциплинарные меры </w:t>
      </w:r>
      <w:r w:rsidR="00485268" w:rsidRPr="00064CD6">
        <w:rPr>
          <w:rFonts w:ascii="PermianSerifTypeface" w:hAnsi="PermianSerifTypeface"/>
          <w:sz w:val="24"/>
          <w:szCs w:val="24"/>
          <w:lang w:val="ru-RU" w:eastAsia="ro-MD"/>
        </w:rPr>
        <w:t>в соответствии с Законом № 271/2017, кроме письменного предупреждения</w:t>
      </w:r>
      <w:r w:rsidR="003A515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; </w:t>
      </w:r>
    </w:p>
    <w:p w14:paraId="767CBE78" w14:textId="50F1188F" w:rsidR="009F61EE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5.5.</w:t>
      </w:r>
      <w:r w:rsidR="006E5482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Аудиторский субъект </w:t>
      </w:r>
      <w:r w:rsidR="00682196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 был назначен 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небанковским поставщиком платежных услуг </w:t>
      </w:r>
      <w:r w:rsidR="00237D72">
        <w:rPr>
          <w:rFonts w:ascii="PermianSerifTypeface" w:hAnsi="PermianSerifTypeface"/>
          <w:sz w:val="24"/>
          <w:szCs w:val="24"/>
          <w:lang w:val="ru-RU" w:eastAsia="ro-MD"/>
        </w:rPr>
        <w:t>на срок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более 3 лет подряд, согласно </w:t>
      </w:r>
      <w:r w:rsidR="00682196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части (1) 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ст. </w:t>
      </w:r>
      <w:r w:rsidR="00682196" w:rsidRPr="00064CD6">
        <w:rPr>
          <w:rFonts w:ascii="PermianSerifTypeface" w:hAnsi="PermianSerifTypeface"/>
          <w:sz w:val="24"/>
          <w:szCs w:val="24"/>
          <w:lang w:val="ru-RU" w:eastAsia="ro-MD"/>
        </w:rPr>
        <w:t>30 Закона</w:t>
      </w:r>
      <w:r w:rsidR="009F61EE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№ 114/2012</w:t>
      </w:r>
      <w:r w:rsidR="00682196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7DFC52C2" w14:textId="1891105A" w:rsidR="00396147" w:rsidRPr="00064CD6" w:rsidRDefault="00B434EC" w:rsidP="00396147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lastRenderedPageBreak/>
        <w:t>5.6.</w:t>
      </w:r>
      <w:r w:rsidR="00396147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82196" w:rsidRPr="00064CD6">
        <w:rPr>
          <w:rFonts w:ascii="PermianSerifTypeface" w:hAnsi="PermianSerifTypeface"/>
          <w:sz w:val="24"/>
          <w:szCs w:val="24"/>
          <w:lang w:val="ru-RU" w:eastAsia="ro-MD"/>
        </w:rPr>
        <w:t>Аудиторский субъект не имеет тесных связей с небанковским поставщиком платежных услуг</w:t>
      </w:r>
      <w:r w:rsidR="009D2A73">
        <w:rPr>
          <w:rFonts w:ascii="PermianSerifTypeface" w:hAnsi="PermianSerifTypeface"/>
          <w:sz w:val="24"/>
          <w:szCs w:val="24"/>
          <w:lang w:val="ru-RU" w:eastAsia="ro-MD"/>
        </w:rPr>
        <w:t>,</w:t>
      </w:r>
      <w:r w:rsidR="00E11644">
        <w:rPr>
          <w:rFonts w:ascii="PermianSerifTypeface" w:hAnsi="PermianSerifTypeface"/>
          <w:sz w:val="24"/>
          <w:szCs w:val="24"/>
          <w:lang w:val="ru-RU" w:eastAsia="ro-MD"/>
        </w:rPr>
        <w:t xml:space="preserve"> подлежащим аудиту</w:t>
      </w:r>
      <w:r w:rsidR="00396147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4FA49E26" w14:textId="57C151E3" w:rsidR="0032556D" w:rsidRPr="00064CD6" w:rsidRDefault="00AE418D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5.7.</w:t>
      </w:r>
      <w:r w:rsidR="00396147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AA4C00" w:rsidRPr="00064CD6">
        <w:rPr>
          <w:rFonts w:ascii="PermianSerifTypeface" w:hAnsi="PermianSerifTypeface"/>
          <w:sz w:val="24"/>
          <w:szCs w:val="24"/>
          <w:lang w:val="ru-RU" w:eastAsia="ro-MD"/>
        </w:rPr>
        <w:t>Аудиторский субъект соблюдает требования относительно формы и содержания договора на проведение аудита, указанных в пункте 6</w:t>
      </w:r>
      <w:r w:rsidR="004C3261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0F692BE6" w14:textId="3FB72A45" w:rsidR="005A7120" w:rsidRPr="00064CD6" w:rsidRDefault="00390C8D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6</w:t>
      </w:r>
      <w:r w:rsidR="005A7120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AA4C0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Договор на проведение аудита заключается в письменной форме на срок, не превышающий срока, предусмотренного частью (1) ст. </w:t>
      </w:r>
      <w:r w:rsidR="008F14A1" w:rsidRPr="00064CD6">
        <w:rPr>
          <w:rFonts w:ascii="PermianSerifTypeface" w:hAnsi="PermianSerifTypeface"/>
          <w:sz w:val="24"/>
          <w:szCs w:val="24"/>
          <w:lang w:val="ru-RU" w:eastAsia="ro-MD"/>
        </w:rPr>
        <w:t>30 Закона</w:t>
      </w:r>
      <w:r w:rsidR="00AA4C0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114/2012 и содержит как минимум следующее:</w:t>
      </w:r>
    </w:p>
    <w:p w14:paraId="50C5BF2A" w14:textId="2486352C" w:rsidR="005A7120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6.1.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F52934" w:rsidRPr="00064CD6">
        <w:rPr>
          <w:rFonts w:ascii="PermianSerifTypeface" w:hAnsi="PermianSerifTypeface"/>
          <w:sz w:val="24"/>
          <w:szCs w:val="24"/>
          <w:lang w:val="ru-RU"/>
        </w:rPr>
        <w:t>Цель и сфера применения аудита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4D439954" w14:textId="019CD504" w:rsidR="005A7120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6.2.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F363A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Обязательство субъекта аудита </w:t>
      </w:r>
      <w:r w:rsidR="008D0B10" w:rsidRPr="00064CD6">
        <w:rPr>
          <w:rFonts w:ascii="PermianSerifTypeface" w:hAnsi="PermianSerifTypeface"/>
          <w:sz w:val="24"/>
          <w:szCs w:val="24"/>
          <w:lang w:val="ru-RU" w:eastAsia="ro-MD"/>
        </w:rPr>
        <w:t>разработать</w:t>
      </w:r>
      <w:r w:rsidR="00F363A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/выдать </w:t>
      </w:r>
      <w:r w:rsidR="00E11644" w:rsidRPr="00064CD6">
        <w:rPr>
          <w:rFonts w:ascii="PermianSerifTypeface" w:hAnsi="PermianSerifTypeface"/>
          <w:sz w:val="24"/>
          <w:szCs w:val="24"/>
          <w:lang w:val="ru-RU" w:eastAsia="ro-MD"/>
        </w:rPr>
        <w:t>отч</w:t>
      </w:r>
      <w:r w:rsidR="00E11644">
        <w:rPr>
          <w:rFonts w:ascii="PermianSerifTypeface" w:hAnsi="PermianSerifTypeface"/>
          <w:sz w:val="24"/>
          <w:szCs w:val="24"/>
          <w:lang w:val="ru-RU" w:eastAsia="ro-MD"/>
        </w:rPr>
        <w:t>ё</w:t>
      </w:r>
      <w:r w:rsidR="00E11644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т </w:t>
      </w:r>
      <w:r w:rsidR="00F363A0" w:rsidRPr="00064CD6">
        <w:rPr>
          <w:rFonts w:ascii="PermianSerifTypeface" w:hAnsi="PermianSerifTypeface"/>
          <w:sz w:val="24"/>
          <w:szCs w:val="24"/>
          <w:lang w:val="ru-RU" w:eastAsia="ro-MD"/>
        </w:rPr>
        <w:t>аудит</w:t>
      </w:r>
      <w:r w:rsidR="008D0B10" w:rsidRPr="00064CD6">
        <w:rPr>
          <w:rFonts w:ascii="PermianSerifTypeface" w:hAnsi="PermianSerifTypeface"/>
          <w:sz w:val="24"/>
          <w:szCs w:val="24"/>
          <w:lang w:val="ru-RU" w:eastAsia="ro-MD"/>
        </w:rPr>
        <w:t>а</w:t>
      </w:r>
      <w:r w:rsidR="00F363A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в соответствии со стандартами аудита, а также подготовить письмо, адресованное органу управления небанковского поставщика платежных услуг, и представить его в течение 120 дней с момента последнего дня отчетного периода, органу управления </w:t>
      </w:r>
      <w:r w:rsidR="00673E5B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небанковского </w:t>
      </w:r>
      <w:r w:rsidR="00F363A0" w:rsidRPr="00064CD6">
        <w:rPr>
          <w:rFonts w:ascii="PermianSerifTypeface" w:hAnsi="PermianSerifTypeface"/>
          <w:sz w:val="24"/>
          <w:szCs w:val="24"/>
          <w:lang w:val="ru-RU" w:eastAsia="ro-MD"/>
        </w:rPr>
        <w:t>поставщика платежных услуг и Национальному банку Молдовы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355E1B03" w14:textId="37D0CB53" w:rsidR="005A7120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6.3.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8F14A1" w:rsidRPr="00064CD6">
        <w:rPr>
          <w:rFonts w:ascii="PermianSerifTypeface" w:hAnsi="PermianSerifTypeface"/>
          <w:sz w:val="24"/>
          <w:szCs w:val="24"/>
          <w:lang w:val="ru-RU"/>
        </w:rPr>
        <w:t>Отчетный период, для которого осуществляется аудит</w:t>
      </w:r>
      <w:r w:rsidR="005A7120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77357D7E" w14:textId="62C80C41" w:rsidR="008F14A1" w:rsidRPr="00064CD6" w:rsidRDefault="00B434EC" w:rsidP="004A2AA8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6.4.</w:t>
      </w:r>
      <w:r w:rsidR="005A7120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8F14A1" w:rsidRPr="00064CD6">
        <w:rPr>
          <w:rFonts w:ascii="PermianSerifTypeface" w:hAnsi="PermianSerifTypeface"/>
          <w:sz w:val="24"/>
          <w:szCs w:val="24"/>
          <w:lang w:val="ru-RU"/>
        </w:rPr>
        <w:t xml:space="preserve">Обязательство </w:t>
      </w:r>
      <w:r w:rsidR="00EB37AA" w:rsidRPr="00064CD6">
        <w:rPr>
          <w:rFonts w:ascii="PermianSerifTypeface" w:hAnsi="PermianSerifTypeface"/>
          <w:sz w:val="24"/>
          <w:szCs w:val="24"/>
          <w:lang w:val="ru-RU" w:eastAsia="ro-MD"/>
        </w:rPr>
        <w:t>субъекта аудита</w:t>
      </w:r>
      <w:r w:rsidR="008F14A1" w:rsidRPr="00064CD6">
        <w:rPr>
          <w:rFonts w:ascii="PermianSerifTypeface" w:hAnsi="PermianSerifTypeface"/>
          <w:sz w:val="24"/>
          <w:szCs w:val="24"/>
          <w:lang w:val="ru-RU"/>
        </w:rPr>
        <w:t xml:space="preserve"> сообщать </w:t>
      </w:r>
      <w:r w:rsidR="00AE7B76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небанковскому поставщику платежных услуг</w:t>
      </w:r>
      <w:r w:rsidR="008F14A1" w:rsidRPr="00064CD6">
        <w:rPr>
          <w:rFonts w:ascii="PermianSerifTypeface" w:hAnsi="PermianSerifTypeface"/>
          <w:sz w:val="24"/>
          <w:szCs w:val="24"/>
          <w:lang w:val="ru-RU"/>
        </w:rPr>
        <w:t xml:space="preserve"> об изменении информации по критериям, указанным в пункте 5, в течение 5 рабочих дней со дня изменения</w:t>
      </w:r>
      <w:r w:rsidR="00ED0249" w:rsidRPr="00064CD6">
        <w:rPr>
          <w:rFonts w:ascii="PermianSerifTypeface" w:hAnsi="PermianSerifTypeface"/>
          <w:sz w:val="24"/>
          <w:szCs w:val="24"/>
          <w:lang w:val="ru-RU"/>
        </w:rPr>
        <w:t>, а также</w:t>
      </w:r>
      <w:r w:rsidR="00EB37AA">
        <w:rPr>
          <w:rFonts w:ascii="PermianSerifTypeface" w:hAnsi="PermianSerifTypeface"/>
          <w:sz w:val="24"/>
          <w:szCs w:val="24"/>
          <w:lang w:val="ru-RU"/>
        </w:rPr>
        <w:t>,</w:t>
      </w:r>
      <w:r w:rsidR="00ED0249" w:rsidRPr="00064CD6">
        <w:rPr>
          <w:rFonts w:ascii="PermianSerifTypeface" w:hAnsi="PermianSerifTypeface"/>
          <w:sz w:val="24"/>
          <w:szCs w:val="24"/>
          <w:lang w:val="ru-RU"/>
        </w:rPr>
        <w:t xml:space="preserve"> о намерении изменить состав аудиторской группы с представлением </w:t>
      </w:r>
      <w:proofErr w:type="gramStart"/>
      <w:r w:rsidR="00ED0249" w:rsidRPr="00064CD6">
        <w:rPr>
          <w:rFonts w:ascii="PermianSerifTypeface" w:hAnsi="PermianSerifTypeface"/>
          <w:sz w:val="24"/>
          <w:szCs w:val="24"/>
          <w:lang w:val="ru-RU"/>
        </w:rPr>
        <w:t>информации</w:t>
      </w:r>
      <w:proofErr w:type="gramEnd"/>
      <w:r w:rsidR="00ED0249" w:rsidRPr="00064CD6">
        <w:rPr>
          <w:rFonts w:ascii="PermianSerifTypeface" w:hAnsi="PermianSerifTypeface"/>
          <w:sz w:val="24"/>
          <w:szCs w:val="24"/>
          <w:lang w:val="ru-RU"/>
        </w:rPr>
        <w:t xml:space="preserve"> предусмотренной подпунктом 8.5;</w:t>
      </w:r>
    </w:p>
    <w:p w14:paraId="69FD7AB9" w14:textId="44B0CEF4" w:rsidR="005A7120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6.5.</w:t>
      </w:r>
      <w:r w:rsidR="005A7120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 xml:space="preserve">Обязательство </w:t>
      </w:r>
      <w:r w:rsidR="00A32AF7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 xml:space="preserve">аудита </w:t>
      </w:r>
      <w:r w:rsidR="00B86AD8" w:rsidRPr="00B86AD8">
        <w:rPr>
          <w:rFonts w:ascii="PermianSerifTypeface" w:hAnsi="PermianSerifTypeface"/>
          <w:sz w:val="24"/>
          <w:szCs w:val="24"/>
          <w:lang w:val="ru-RU"/>
        </w:rPr>
        <w:t>представ</w:t>
      </w:r>
      <w:r w:rsidR="00B86AD8">
        <w:rPr>
          <w:rFonts w:ascii="PermianSerifTypeface" w:hAnsi="PermianSerifTypeface"/>
          <w:sz w:val="24"/>
          <w:szCs w:val="24"/>
          <w:lang w:val="ru-RU"/>
        </w:rPr>
        <w:t>ля</w:t>
      </w:r>
      <w:r w:rsidR="00B86AD8" w:rsidRPr="00B86AD8">
        <w:rPr>
          <w:rFonts w:ascii="PermianSerifTypeface" w:hAnsi="PermianSerifTypeface"/>
          <w:sz w:val="24"/>
          <w:szCs w:val="24"/>
          <w:lang w:val="ru-RU"/>
        </w:rPr>
        <w:t>ть</w:t>
      </w:r>
      <w:r w:rsidR="00EB37AA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>Национальному банку Молдовы информацию</w:t>
      </w:r>
      <w:r w:rsidR="0050204D">
        <w:rPr>
          <w:rFonts w:ascii="PermianSerifTypeface" w:hAnsi="PermianSerifTypeface"/>
          <w:sz w:val="24"/>
          <w:szCs w:val="24"/>
          <w:lang w:val="ru-RU"/>
        </w:rPr>
        <w:t>,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 xml:space="preserve"> полученную в рамках аудиторской миссии в случаях, предусмотренных в части (2) ст.</w:t>
      </w:r>
      <w:r w:rsidR="00396B7B">
        <w:rPr>
          <w:rFonts w:ascii="PermianSerifTypeface" w:hAnsi="PermianSerifTypeface"/>
          <w:sz w:val="24"/>
          <w:szCs w:val="24"/>
          <w:lang w:val="ro-MD"/>
        </w:rPr>
        <w:t xml:space="preserve"> 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 xml:space="preserve">30 Закона № 114/2012, и тот факт, что это не является нарушением обязательства по соблюдению конфиденциальности информации по деятельности </w:t>
      </w:r>
      <w:r w:rsidR="00342A72" w:rsidRPr="00064CD6">
        <w:rPr>
          <w:rFonts w:ascii="PermianSerifTypeface" w:hAnsi="PermianSerifTypeface"/>
          <w:sz w:val="24"/>
          <w:szCs w:val="24"/>
          <w:lang w:val="ru-RU"/>
        </w:rPr>
        <w:t>небанковского поставщика платежных услуг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>, возложенного на аудиторск</w:t>
      </w:r>
      <w:r w:rsidR="00342A72" w:rsidRPr="00064CD6">
        <w:rPr>
          <w:rFonts w:ascii="PermianSerifTypeface" w:hAnsi="PermianSerifTypeface"/>
          <w:sz w:val="24"/>
          <w:szCs w:val="24"/>
          <w:lang w:val="ru-RU"/>
        </w:rPr>
        <w:t>ий субъект</w:t>
      </w:r>
      <w:r w:rsidR="00B51594" w:rsidRPr="00064CD6">
        <w:rPr>
          <w:rFonts w:ascii="PermianSerifTypeface" w:hAnsi="PermianSerifTypeface"/>
          <w:sz w:val="24"/>
          <w:szCs w:val="24"/>
          <w:lang w:val="ru-RU"/>
        </w:rPr>
        <w:t xml:space="preserve"> законом или условиями договора, и не влечет какой бы то ни было ответственности с его стороны</w:t>
      </w:r>
      <w:r w:rsidR="005A7120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3D26C11D" w14:textId="03258B99" w:rsidR="00D504E3" w:rsidRPr="00064CD6" w:rsidRDefault="00390C8D" w:rsidP="00D504E3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7</w:t>
      </w:r>
      <w:r w:rsidR="00D504E3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Письмо, адресованное органу управления/члену органа управления небанковского поставщика платежных услуг, указанное в подпункте 6.2., должно содержать, как минимум, информацию, вытекающую из аудита финансовой отчетности, которая имеет значение для руководства небанковского поставщика платежных услуг. </w:t>
      </w:r>
      <w:r w:rsidR="002451C0" w:rsidRPr="002451C0">
        <w:rPr>
          <w:rFonts w:ascii="PermianSerifTypeface" w:hAnsi="PermianSerifTypeface"/>
          <w:sz w:val="24"/>
          <w:szCs w:val="24"/>
          <w:lang w:val="ru-RU" w:eastAsia="ro-MD"/>
        </w:rPr>
        <w:t>Данная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информация должна включать, помимо прочего, существенные искажения информации, содержащейся в </w:t>
      </w:r>
      <w:r w:rsidR="00CC79B2">
        <w:rPr>
          <w:rFonts w:ascii="PermianSerifTypeface" w:hAnsi="PermianSerifTypeface"/>
          <w:sz w:val="24"/>
          <w:szCs w:val="24"/>
          <w:lang w:val="ru-RU" w:eastAsia="ro-MD"/>
        </w:rPr>
        <w:t>проверенной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финансовой отчетности, которая была исправлена, недостатки системы внутреннего контроля, качественные аспекты практики бухгалтерского учета, представление о бухгалтерских оценках </w:t>
      </w:r>
      <w:r w:rsidR="00CC79B2">
        <w:rPr>
          <w:rFonts w:ascii="PermianSerifTypeface" w:hAnsi="PermianSerifTypeface"/>
          <w:sz w:val="24"/>
          <w:szCs w:val="24"/>
          <w:lang w:val="ru-RU" w:eastAsia="ro-MD"/>
        </w:rPr>
        <w:t>по</w:t>
      </w:r>
      <w:r w:rsidR="00CC79B2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стат</w:t>
      </w:r>
      <w:r w:rsidR="00CC79B2">
        <w:rPr>
          <w:rFonts w:ascii="PermianSerifTypeface" w:hAnsi="PermianSerifTypeface"/>
          <w:sz w:val="24"/>
          <w:szCs w:val="24"/>
          <w:lang w:val="ru-RU" w:eastAsia="ro-MD"/>
        </w:rPr>
        <w:t>ьям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, </w:t>
      </w:r>
      <w:r w:rsidR="00CC79B2">
        <w:rPr>
          <w:rFonts w:ascii="PermianSerifTypeface" w:hAnsi="PermianSerifTypeface"/>
          <w:sz w:val="24"/>
          <w:szCs w:val="24"/>
          <w:lang w:val="ru-RU" w:eastAsia="ro-MD"/>
        </w:rPr>
        <w:t>для</w:t>
      </w:r>
      <w:r w:rsidR="00CC79B2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E331AC" w:rsidRPr="00064CD6">
        <w:rPr>
          <w:rFonts w:ascii="PermianSerifTypeface" w:hAnsi="PermianSerifTypeface"/>
          <w:sz w:val="24"/>
          <w:szCs w:val="24"/>
          <w:lang w:val="ru-RU" w:eastAsia="ro-MD"/>
        </w:rPr>
        <w:t>которы</w:t>
      </w:r>
      <w:r w:rsidR="00E331AC">
        <w:rPr>
          <w:rFonts w:ascii="PermianSerifTypeface" w:hAnsi="PermianSerifTypeface"/>
          <w:sz w:val="24"/>
          <w:szCs w:val="24"/>
          <w:lang w:val="ru-RU" w:eastAsia="ro-MD"/>
        </w:rPr>
        <w:t>х</w:t>
      </w:r>
      <w:r w:rsidR="00E331AC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>оценки являются существенн</w:t>
      </w:r>
      <w:r w:rsidR="0051183C" w:rsidRPr="00064CD6">
        <w:rPr>
          <w:rFonts w:ascii="PermianSerifTypeface" w:hAnsi="PermianSerifTypeface"/>
          <w:sz w:val="24"/>
          <w:szCs w:val="24"/>
          <w:lang w:val="ru-RU" w:eastAsia="ro-MD"/>
        </w:rPr>
        <w:t>ыми</w:t>
      </w:r>
      <w:r w:rsidR="00B83F2A" w:rsidRPr="00064CD6">
        <w:rPr>
          <w:rFonts w:ascii="PermianSerifTypeface" w:hAnsi="PermianSerifTypeface"/>
          <w:sz w:val="24"/>
          <w:szCs w:val="24"/>
          <w:lang w:val="ru-RU" w:eastAsia="ro-MD"/>
        </w:rPr>
        <w:t>, а также любую другую информацию, которую аудиторский субъект считает значимой.</w:t>
      </w:r>
    </w:p>
    <w:p w14:paraId="481C639F" w14:textId="12CB45F0" w:rsidR="00D504E3" w:rsidRDefault="00D504E3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</w:p>
    <w:p w14:paraId="5E0BE932" w14:textId="77777777" w:rsidR="00555B51" w:rsidRDefault="00555B51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</w:p>
    <w:p w14:paraId="71ABCC57" w14:textId="77777777" w:rsidR="00555B51" w:rsidRDefault="00555B51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</w:p>
    <w:p w14:paraId="19511524" w14:textId="77777777" w:rsidR="00555B51" w:rsidRDefault="00555B51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</w:p>
    <w:p w14:paraId="092A25DB" w14:textId="77777777" w:rsidR="00555B51" w:rsidRPr="00555B51" w:rsidRDefault="00555B51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eastAsia="ro-MD"/>
        </w:rPr>
      </w:pPr>
    </w:p>
    <w:p w14:paraId="6C9C851A" w14:textId="5E1AA98E" w:rsidR="00696175" w:rsidRPr="00064CD6" w:rsidRDefault="00B83F2A" w:rsidP="00696175">
      <w:pPr>
        <w:spacing w:after="0" w:line="240" w:lineRule="auto"/>
        <w:ind w:firstLine="567"/>
        <w:jc w:val="center"/>
        <w:rPr>
          <w:rFonts w:ascii="PermianSerifTypeface" w:hAnsi="PermianSerifTypeface"/>
          <w:b/>
          <w:bCs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lastRenderedPageBreak/>
        <w:t>Часть</w:t>
      </w:r>
      <w:r w:rsidR="00696175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 xml:space="preserve"> 2</w:t>
      </w:r>
    </w:p>
    <w:p w14:paraId="5CC65F75" w14:textId="28304367" w:rsidR="00696175" w:rsidRDefault="0008136B" w:rsidP="00696175">
      <w:pPr>
        <w:spacing w:after="0" w:line="240" w:lineRule="auto"/>
        <w:ind w:firstLine="567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  <w:r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Метод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 </w:t>
      </w:r>
      <w:r w:rsidR="00B83F2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утверждения</w:t>
      </w:r>
      <w:r w:rsidR="0069617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/</w:t>
      </w:r>
      <w:r w:rsidR="00B83F2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отзыва </w:t>
      </w:r>
      <w:r w:rsidRPr="0008136B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утверждения</w:t>
      </w:r>
      <w:r w:rsidR="00B83F2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 xml:space="preserve"> субъекта аудита</w:t>
      </w:r>
    </w:p>
    <w:p w14:paraId="0E709AB6" w14:textId="77777777" w:rsidR="0008136B" w:rsidRPr="00064CD6" w:rsidRDefault="0008136B" w:rsidP="00696175">
      <w:pPr>
        <w:spacing w:after="0" w:line="240" w:lineRule="auto"/>
        <w:ind w:firstLine="567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</w:p>
    <w:p w14:paraId="1C237465" w14:textId="5E969983" w:rsidR="00F544D6" w:rsidRPr="00064CD6" w:rsidRDefault="00B42B9B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/>
        </w:rPr>
        <w:t>8</w:t>
      </w:r>
      <w:r w:rsidR="00F544D6" w:rsidRPr="00064CD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. </w:t>
      </w:r>
      <w:proofErr w:type="gramStart"/>
      <w:r w:rsidR="00C12B60" w:rsidRPr="00064CD6">
        <w:rPr>
          <w:rFonts w:ascii="PermianSerifTypeface" w:hAnsi="PermianSerifTypeface"/>
          <w:sz w:val="24"/>
          <w:szCs w:val="24"/>
          <w:lang w:val="ru-RU"/>
        </w:rPr>
        <w:t xml:space="preserve">Для получения </w:t>
      </w:r>
      <w:r w:rsidR="0008136B" w:rsidRPr="0008136B">
        <w:rPr>
          <w:rFonts w:ascii="PermianSerifTypeface" w:hAnsi="PermianSerifTypeface"/>
          <w:sz w:val="24"/>
          <w:szCs w:val="24"/>
          <w:lang w:val="ru-RU"/>
        </w:rPr>
        <w:t>утверждения</w:t>
      </w:r>
      <w:r w:rsidR="00C12B60" w:rsidRPr="00064CD6">
        <w:rPr>
          <w:rFonts w:ascii="PermianSerifTypeface" w:hAnsi="PermianSerifTypeface"/>
          <w:sz w:val="24"/>
          <w:szCs w:val="24"/>
          <w:lang w:val="ru-RU"/>
        </w:rPr>
        <w:t xml:space="preserve"> Национального банка Молдовы,</w:t>
      </w:r>
      <w:proofErr w:type="gramEnd"/>
      <w:r w:rsidR="00C12B60" w:rsidRPr="00064CD6">
        <w:rPr>
          <w:rFonts w:ascii="PermianSerifTypeface" w:hAnsi="PermianSerifTypeface"/>
          <w:sz w:val="24"/>
          <w:szCs w:val="24"/>
          <w:lang w:val="ru-RU"/>
        </w:rPr>
        <w:t xml:space="preserve"> небанковский поставщик платежных услуг подает в Национальный банк Молдовы </w:t>
      </w:r>
      <w:r w:rsidR="009F4EE9" w:rsidRPr="00064CD6">
        <w:rPr>
          <w:rFonts w:ascii="PermianSerifTypeface" w:hAnsi="PermianSerifTypeface"/>
          <w:sz w:val="24"/>
          <w:szCs w:val="24"/>
          <w:lang w:val="ru-RU"/>
        </w:rPr>
        <w:t xml:space="preserve">заявление об утверждении субъекта аудита </w:t>
      </w:r>
      <w:r w:rsidR="00C12B60" w:rsidRPr="00064CD6">
        <w:rPr>
          <w:rFonts w:ascii="PermianSerifTypeface" w:hAnsi="PermianSerifTypeface"/>
          <w:sz w:val="24"/>
          <w:szCs w:val="24"/>
          <w:lang w:val="ru-RU"/>
        </w:rPr>
        <w:t>с приложением следующих документов и информации</w:t>
      </w:r>
      <w:r w:rsidR="00246777" w:rsidRPr="00064CD6">
        <w:rPr>
          <w:rFonts w:ascii="PermianSerifTypeface" w:hAnsi="PermianSerifTypeface"/>
          <w:sz w:val="24"/>
          <w:szCs w:val="24"/>
          <w:lang w:val="ro-RO" w:eastAsia="ro-MD"/>
        </w:rPr>
        <w:t>:</w:t>
      </w:r>
    </w:p>
    <w:p w14:paraId="5E6B3827" w14:textId="528C2149" w:rsidR="00246777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8.1.</w:t>
      </w:r>
      <w:r w:rsidR="00246777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1D4D9C" w:rsidRPr="00064CD6">
        <w:rPr>
          <w:rFonts w:ascii="PermianSerifTypeface" w:hAnsi="PermianSerifTypeface"/>
          <w:sz w:val="24"/>
          <w:szCs w:val="24"/>
          <w:lang w:val="ru-RU" w:eastAsia="ro-MD"/>
        </w:rPr>
        <w:t>В</w:t>
      </w:r>
      <w:r w:rsidR="001D4D9C" w:rsidRPr="00064CD6">
        <w:rPr>
          <w:rFonts w:ascii="PermianSerifTypeface" w:hAnsi="PermianSerifTypeface"/>
          <w:sz w:val="24"/>
          <w:szCs w:val="24"/>
          <w:lang w:val="ru-RU"/>
        </w:rPr>
        <w:t>ыписка из протокола общего собрания акционеров/участников небанковского поставщика платежных услуг</w:t>
      </w:r>
      <w:r w:rsidR="00D67C52" w:rsidRPr="00064CD6">
        <w:rPr>
          <w:rFonts w:ascii="PermianSerifTypeface" w:hAnsi="PermianSerifTypeface"/>
          <w:sz w:val="24"/>
          <w:szCs w:val="24"/>
          <w:lang w:val="ru-RU"/>
        </w:rPr>
        <w:t xml:space="preserve"> или, в зависимости от обстоятельств, уполномоченного законом органа управления,</w:t>
      </w:r>
      <w:r w:rsidR="001D4D9C" w:rsidRPr="00064CD6">
        <w:rPr>
          <w:rFonts w:ascii="PermianSerifTypeface" w:hAnsi="PermianSerifTypeface"/>
          <w:sz w:val="24"/>
          <w:szCs w:val="24"/>
          <w:lang w:val="ru-RU"/>
        </w:rPr>
        <w:t xml:space="preserve"> на котором было принято решение об утверждении</w:t>
      </w:r>
      <w:r w:rsidR="009C3FC7" w:rsidRPr="00064CD6">
        <w:rPr>
          <w:rFonts w:ascii="PermianSerifTypeface" w:hAnsi="PermianSerifTypeface"/>
          <w:sz w:val="24"/>
          <w:szCs w:val="24"/>
          <w:lang w:val="ru-RU"/>
        </w:rPr>
        <w:t>/назначении субъекта</w:t>
      </w:r>
      <w:r w:rsidR="001D4D9C" w:rsidRPr="00064CD6">
        <w:rPr>
          <w:rFonts w:ascii="PermianSerifTypeface" w:hAnsi="PermianSerifTypeface"/>
          <w:sz w:val="24"/>
          <w:szCs w:val="24"/>
          <w:lang w:val="ru-RU"/>
        </w:rPr>
        <w:t xml:space="preserve"> аудит</w:t>
      </w:r>
      <w:r w:rsidR="009C3FC7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1D4D9C" w:rsidRPr="00064CD6">
        <w:rPr>
          <w:rFonts w:ascii="PermianSerifTypeface" w:hAnsi="PermianSerifTypeface"/>
          <w:sz w:val="24"/>
          <w:szCs w:val="24"/>
          <w:lang w:val="ru-RU"/>
        </w:rPr>
        <w:t xml:space="preserve"> для осуществления аудита финансовых </w:t>
      </w:r>
      <w:r w:rsidR="00E8224E" w:rsidRPr="00064CD6">
        <w:rPr>
          <w:rFonts w:ascii="PermianSerifTypeface" w:hAnsi="PermianSerifTypeface"/>
          <w:sz w:val="24"/>
          <w:szCs w:val="24"/>
          <w:lang w:val="ru-RU"/>
        </w:rPr>
        <w:t>отч</w:t>
      </w:r>
      <w:r w:rsidR="00E8224E">
        <w:rPr>
          <w:rFonts w:ascii="PermianSerifTypeface" w:hAnsi="PermianSerifTypeface"/>
          <w:sz w:val="24"/>
          <w:szCs w:val="24"/>
          <w:lang w:val="ru-RU"/>
        </w:rPr>
        <w:t>ё</w:t>
      </w:r>
      <w:r w:rsidR="00E8224E" w:rsidRPr="00064CD6">
        <w:rPr>
          <w:rFonts w:ascii="PermianSerifTypeface" w:hAnsi="PermianSerifTypeface"/>
          <w:sz w:val="24"/>
          <w:szCs w:val="24"/>
          <w:lang w:val="ru-RU"/>
        </w:rPr>
        <w:t>тов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63204BFB" w14:textId="03C1AFBA" w:rsidR="00D31D2D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8.2.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9C3FC7" w:rsidRPr="00064CD6">
        <w:rPr>
          <w:rFonts w:ascii="PermianSerifTypeface" w:hAnsi="PermianSerifTypeface"/>
          <w:sz w:val="24"/>
          <w:szCs w:val="24"/>
          <w:lang w:val="ru-RU"/>
        </w:rPr>
        <w:t>Описание календаря запланированной деятельности субъекта аудита на запланированный отчетный период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58E0C365" w14:textId="47674487" w:rsidR="00D31D2D" w:rsidRPr="00064CD6" w:rsidRDefault="00B434EC" w:rsidP="00472245">
      <w:pPr>
        <w:spacing w:after="0" w:line="240" w:lineRule="auto"/>
        <w:ind w:firstLine="567"/>
        <w:jc w:val="both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8.3.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 xml:space="preserve"> Декларация под личную ответственность об отсутствии </w:t>
      </w:r>
      <w:r w:rsidR="003218FD">
        <w:rPr>
          <w:rFonts w:ascii="PermianSerifTypeface" w:hAnsi="PermianSerifTypeface"/>
          <w:sz w:val="24"/>
          <w:szCs w:val="24"/>
          <w:lang w:val="ru-RU"/>
        </w:rPr>
        <w:t>тесных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218FD">
        <w:rPr>
          <w:rFonts w:ascii="PermianSerifTypeface" w:hAnsi="PermianSerifTypeface"/>
          <w:sz w:val="24"/>
          <w:szCs w:val="24"/>
          <w:lang w:val="ru-RU"/>
        </w:rPr>
        <w:t>связей субъекта</w:t>
      </w:r>
      <w:r w:rsidR="003218FD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proofErr w:type="gramStart"/>
      <w:r w:rsidR="00876669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3218FD">
        <w:rPr>
          <w:rFonts w:ascii="PermianSerifTypeface" w:hAnsi="PermianSerifTypeface"/>
          <w:sz w:val="24"/>
          <w:szCs w:val="24"/>
          <w:lang w:val="ru-RU"/>
        </w:rPr>
        <w:t>а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218FD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>с</w:t>
      </w:r>
      <w:proofErr w:type="gramEnd"/>
      <w:r w:rsidR="00876669" w:rsidRPr="00064CD6">
        <w:rPr>
          <w:rFonts w:ascii="PermianSerifTypeface" w:hAnsi="PermianSerifTypeface"/>
          <w:sz w:val="24"/>
          <w:szCs w:val="24"/>
          <w:lang w:val="ru-RU"/>
        </w:rPr>
        <w:t xml:space="preserve"> небанковским поставщиком платежных услуг, подписанное </w:t>
      </w:r>
      <w:r w:rsidR="00496DC2" w:rsidRPr="00064CD6">
        <w:rPr>
          <w:rFonts w:ascii="PermianSerifTypeface" w:hAnsi="PermianSerifTypeface"/>
          <w:sz w:val="24"/>
          <w:szCs w:val="24"/>
          <w:lang w:val="ru-RU"/>
        </w:rPr>
        <w:t>партнером ответственным за миссию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 xml:space="preserve">/руководителем </w:t>
      </w:r>
      <w:r w:rsidR="00496DC2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876669" w:rsidRPr="00064CD6">
        <w:rPr>
          <w:rFonts w:ascii="PermianSerifTypeface" w:hAnsi="PermianSerifTypeface"/>
          <w:sz w:val="24"/>
          <w:szCs w:val="24"/>
          <w:lang w:val="ru-RU"/>
        </w:rPr>
        <w:t>аудита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3417789E" w14:textId="1472AFE0" w:rsidR="00F764F8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8.4.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5B4DE4" w:rsidRPr="00064CD6">
        <w:rPr>
          <w:rFonts w:ascii="PermianSerifTypeface" w:hAnsi="PermianSerifTypeface"/>
          <w:sz w:val="24"/>
          <w:szCs w:val="24"/>
          <w:lang w:val="ru-RU"/>
        </w:rPr>
        <w:t xml:space="preserve">Согласованный проект договора аудита, который будет заключен между небанковским поставщиком платежных услуг и субъектом аудита, включающий и требования, указанные в пункте </w:t>
      </w:r>
      <w:r w:rsidR="00C243CA" w:rsidRPr="00064CD6">
        <w:rPr>
          <w:rFonts w:ascii="PermianSerifTypeface" w:hAnsi="PermianSerifTypeface"/>
          <w:sz w:val="24"/>
          <w:szCs w:val="24"/>
          <w:lang w:val="ru-RU"/>
        </w:rPr>
        <w:t>6</w:t>
      </w:r>
      <w:r w:rsidR="00D31D2D" w:rsidRPr="00064CD6">
        <w:rPr>
          <w:rFonts w:ascii="PermianSerifTypeface" w:hAnsi="PermianSerifTypeface"/>
          <w:sz w:val="24"/>
          <w:szCs w:val="24"/>
          <w:lang w:val="ro-RO" w:eastAsia="ro-MD"/>
        </w:rPr>
        <w:t>;</w:t>
      </w:r>
    </w:p>
    <w:p w14:paraId="0FA9A889" w14:textId="3C298284" w:rsidR="00D31D2D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sz w:val="24"/>
          <w:szCs w:val="24"/>
          <w:lang w:val="ro-RO" w:eastAsia="ro-MD"/>
        </w:rPr>
        <w:t>8.5.</w:t>
      </w:r>
      <w:r w:rsidR="00F764F8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C243CA" w:rsidRPr="00064CD6">
        <w:rPr>
          <w:rFonts w:ascii="PermianSerifTypeface" w:hAnsi="PermianSerifTypeface"/>
          <w:sz w:val="24"/>
          <w:szCs w:val="24"/>
          <w:lang w:val="ru-RU"/>
        </w:rPr>
        <w:t xml:space="preserve">Информация </w:t>
      </w:r>
      <w:r w:rsidR="006B14B3" w:rsidRPr="00064CD6">
        <w:rPr>
          <w:rFonts w:ascii="PermianSerifTypeface" w:hAnsi="PermianSerifTypeface"/>
          <w:sz w:val="24"/>
          <w:szCs w:val="24"/>
          <w:lang w:val="ru-RU"/>
        </w:rPr>
        <w:t xml:space="preserve">об образовании/профессиональной подготовке и опыте членов </w:t>
      </w:r>
      <w:r w:rsidR="00C243CA" w:rsidRPr="00064CD6">
        <w:rPr>
          <w:rFonts w:ascii="PermianSerifTypeface" w:hAnsi="PermianSerifTypeface"/>
          <w:sz w:val="24"/>
          <w:szCs w:val="24"/>
          <w:lang w:val="ru-RU"/>
        </w:rPr>
        <w:t xml:space="preserve">группы </w:t>
      </w:r>
      <w:r w:rsidR="006B14B3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C243CA" w:rsidRPr="00064CD6">
        <w:rPr>
          <w:rFonts w:ascii="PermianSerifTypeface" w:hAnsi="PermianSerifTypeface"/>
          <w:sz w:val="24"/>
          <w:szCs w:val="24"/>
          <w:lang w:val="ru-RU"/>
        </w:rPr>
        <w:t>аудита в области аудита финансовых отчетов согласно пункту 5, с приложением копий</w:t>
      </w:r>
      <w:r w:rsidR="006E6D81" w:rsidRPr="00064CD6">
        <w:rPr>
          <w:rFonts w:ascii="PermianSerifTypeface" w:hAnsi="PermianSerifTypeface"/>
          <w:sz w:val="24"/>
          <w:szCs w:val="24"/>
          <w:lang w:val="ru-RU"/>
        </w:rPr>
        <w:t xml:space="preserve"> обосновывающих документов</w:t>
      </w:r>
      <w:r w:rsidR="00C243CA" w:rsidRPr="00064CD6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="00912ECB" w:rsidRPr="00912ECB">
        <w:rPr>
          <w:rFonts w:ascii="PermianSerifTypeface" w:hAnsi="PermianSerifTypeface"/>
          <w:sz w:val="24"/>
          <w:szCs w:val="24"/>
          <w:lang w:val="ru-RU"/>
        </w:rPr>
        <w:t xml:space="preserve">соответствие которых оригиналу подтверждается собственноручной или квалифицированной электронной подписью </w:t>
      </w:r>
      <w:r w:rsidR="006E6D81" w:rsidRPr="00064CD6">
        <w:rPr>
          <w:rFonts w:ascii="PermianSerifTypeface" w:hAnsi="PermianSerifTypeface"/>
          <w:sz w:val="24"/>
          <w:szCs w:val="24"/>
          <w:lang w:val="ru-RU"/>
        </w:rPr>
        <w:t>органа управления</w:t>
      </w:r>
      <w:r w:rsidR="00583DD7" w:rsidRPr="00064CD6">
        <w:rPr>
          <w:rFonts w:ascii="PermianSerifTypeface" w:hAnsi="PermianSerifTypeface"/>
          <w:sz w:val="24"/>
          <w:szCs w:val="24"/>
          <w:lang w:val="ru-RU"/>
        </w:rPr>
        <w:t>/члена органа управления небанковского поставщика платежных услуг</w:t>
      </w:r>
      <w:r w:rsidR="00F764F8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39B50305" w14:textId="0B3C32DB" w:rsidR="00F764F8" w:rsidRPr="00064CD6" w:rsidRDefault="009138D9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Данная информация будет содержать как минимум</w:t>
      </w:r>
      <w:r w:rsidR="00F764F8" w:rsidRPr="00064CD6">
        <w:rPr>
          <w:rFonts w:ascii="PermianSerifTypeface" w:hAnsi="PermianSerifTypeface"/>
          <w:sz w:val="24"/>
          <w:szCs w:val="24"/>
          <w:lang w:val="ru-RU" w:eastAsia="ro-MD"/>
        </w:rPr>
        <w:t>:</w:t>
      </w:r>
    </w:p>
    <w:p w14:paraId="1A5DBE92" w14:textId="5FBCC0CA" w:rsidR="00F764F8" w:rsidRPr="00064CD6" w:rsidRDefault="003218FD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>
        <w:rPr>
          <w:rFonts w:ascii="PermianSerifTypeface" w:hAnsi="PermianSerifTypeface"/>
          <w:sz w:val="24"/>
          <w:szCs w:val="24"/>
          <w:lang w:val="ru-RU" w:eastAsia="ro-MD"/>
        </w:rPr>
        <w:t>ф</w:t>
      </w:r>
      <w:r w:rsidR="007A38CC" w:rsidRPr="00064CD6">
        <w:rPr>
          <w:rFonts w:ascii="PermianSerifTypeface" w:hAnsi="PermianSerifTypeface"/>
          <w:sz w:val="24"/>
          <w:szCs w:val="24"/>
          <w:lang w:val="ru-RU" w:eastAsia="ro-MD"/>
        </w:rPr>
        <w:t>амилия</w:t>
      </w:r>
      <w:r w:rsidR="00F764F8" w:rsidRPr="00064CD6">
        <w:rPr>
          <w:rFonts w:ascii="PermianSerifTypeface" w:hAnsi="PermianSerifTypeface"/>
          <w:sz w:val="24"/>
          <w:szCs w:val="24"/>
          <w:lang w:val="ru-RU" w:eastAsia="ro-MD"/>
        </w:rPr>
        <w:t>,</w:t>
      </w:r>
      <w:r w:rsidR="007A38CC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имя</w:t>
      </w:r>
      <w:r w:rsidR="00F764F8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049D0E1E" w14:textId="43642591" w:rsidR="00F764F8" w:rsidRPr="00064CD6" w:rsidRDefault="007A38CC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должность, занимаемая в субъекте аудита</w:t>
      </w:r>
      <w:r w:rsidR="007464E7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098C1542" w14:textId="19A943D8" w:rsidR="007464E7" w:rsidRPr="00064CD6" w:rsidRDefault="007A38CC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область ответственности внутри группы субъекта аудита</w:t>
      </w:r>
      <w:r w:rsidR="007464E7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0F57E331" w14:textId="673CE5BD" w:rsidR="007464E7" w:rsidRPr="00064CD6" w:rsidRDefault="00A839A3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данные об </w:t>
      </w:r>
      <w:r w:rsidR="003218FD" w:rsidRPr="003218FD">
        <w:rPr>
          <w:rFonts w:ascii="PermianSerifTypeface" w:hAnsi="PermianSerifTypeface"/>
          <w:sz w:val="24"/>
          <w:szCs w:val="24"/>
          <w:lang w:val="ru-RU" w:eastAsia="ro-MD"/>
        </w:rPr>
        <w:t>образовании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/сертификатах (</w:t>
      </w:r>
      <w:r w:rsidRPr="00064CD6">
        <w:rPr>
          <w:rFonts w:ascii="PermianSerifTypeface" w:hAnsi="PermianSerifTypeface"/>
          <w:i/>
          <w:iCs/>
          <w:sz w:val="24"/>
          <w:szCs w:val="24"/>
          <w:lang w:val="ru-RU" w:eastAsia="ro-MD"/>
        </w:rPr>
        <w:t>название учебного заведения, год, серия и номер диплома/сертификата</w:t>
      </w:r>
      <w:r w:rsidR="007464E7" w:rsidRPr="00064CD6">
        <w:rPr>
          <w:rFonts w:ascii="PermianSerifTypeface" w:hAnsi="PermianSerifTypeface"/>
          <w:i/>
          <w:iCs/>
          <w:sz w:val="24"/>
          <w:szCs w:val="24"/>
          <w:lang w:val="ru-RU" w:eastAsia="ro-MD"/>
        </w:rPr>
        <w:t>);</w:t>
      </w:r>
    </w:p>
    <w:p w14:paraId="52BA3F4C" w14:textId="32BD9854" w:rsidR="007464E7" w:rsidRPr="00064CD6" w:rsidRDefault="0049513C" w:rsidP="00AE418D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данные об опыте работы в сфере аудита (</w:t>
      </w:r>
      <w:r w:rsidRPr="00064CD6">
        <w:rPr>
          <w:rFonts w:ascii="PermianSerifTypeface" w:hAnsi="PermianSerifTypeface"/>
          <w:i/>
          <w:iCs/>
          <w:sz w:val="24"/>
          <w:szCs w:val="24"/>
          <w:lang w:val="ru-RU" w:eastAsia="ro-MD"/>
        </w:rPr>
        <w:t>название субъекта, год участия, сфера ответственности в группе субъекта аудита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)</w:t>
      </w:r>
      <w:r w:rsidR="00800F6B" w:rsidRPr="00064CD6">
        <w:rPr>
          <w:rFonts w:ascii="PermianSerifTypeface" w:hAnsi="PermianSerifTypeface"/>
          <w:i/>
          <w:iCs/>
          <w:sz w:val="24"/>
          <w:szCs w:val="24"/>
          <w:lang w:val="ru-RU" w:eastAsia="ro-MD"/>
        </w:rPr>
        <w:t>;</w:t>
      </w:r>
    </w:p>
    <w:p w14:paraId="7E81E593" w14:textId="32DBC1D8" w:rsidR="00A475B3" w:rsidRPr="00064CD6" w:rsidRDefault="00B434EC" w:rsidP="00AE418D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8.6.</w:t>
      </w:r>
      <w:r w:rsidR="00A475B3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F2223" w:rsidRPr="00064CD6">
        <w:rPr>
          <w:rFonts w:ascii="PermianSerifTypeface" w:hAnsi="PermianSerifTypeface"/>
          <w:sz w:val="24"/>
          <w:szCs w:val="24"/>
          <w:lang w:val="ru-RU" w:eastAsia="ro-MD"/>
        </w:rPr>
        <w:t>Подтверждение Совета по публичному надзору за аудитом об отсутствии за последние 3 года дисциплинарных мер, примененных к субъекту аудита/аудиторам субъекта аудита, назначенным для выполнения аудиторской миссии, за исключением письменного предупреждения</w:t>
      </w:r>
      <w:r w:rsidR="00725EE2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6565A5B7" w14:textId="2F515757" w:rsidR="007464E7" w:rsidRPr="00064CD6" w:rsidRDefault="00061B86" w:rsidP="00472245">
      <w:pPr>
        <w:spacing w:after="0" w:line="240" w:lineRule="auto"/>
        <w:ind w:firstLine="567"/>
        <w:jc w:val="both"/>
        <w:rPr>
          <w:rFonts w:ascii="PermianSerifTypeface" w:hAnsi="PermianSerifTypeface"/>
          <w:dstrike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/>
        </w:rPr>
        <w:t>9</w:t>
      </w:r>
      <w:r w:rsidR="007464E7" w:rsidRPr="00064CD6">
        <w:rPr>
          <w:rFonts w:ascii="PermianSerifTypeface" w:hAnsi="PermianSerifTypeface"/>
          <w:b/>
          <w:bCs/>
          <w:sz w:val="24"/>
          <w:szCs w:val="24"/>
          <w:lang w:val="ru-RU"/>
        </w:rPr>
        <w:t>.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t xml:space="preserve"> Заявление, приложенные документы и </w:t>
      </w:r>
      <w:r w:rsidR="003218FD">
        <w:rPr>
          <w:rFonts w:ascii="PermianSerifTypeface" w:hAnsi="PermianSerifTypeface"/>
          <w:sz w:val="24"/>
          <w:szCs w:val="24"/>
          <w:lang w:val="ru-RU"/>
        </w:rPr>
        <w:t>информации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t xml:space="preserve">, указанные в пункте 8, составляются на румынском языке и представляются в Национальный банк Молдовы </w:t>
      </w:r>
      <w:r w:rsidR="00912ECB" w:rsidRPr="00912ECB">
        <w:rPr>
          <w:rFonts w:ascii="PermianSerifTypeface" w:hAnsi="PermianSerifTypeface"/>
          <w:sz w:val="24"/>
          <w:szCs w:val="24"/>
          <w:lang w:val="ru-RU"/>
        </w:rPr>
        <w:t xml:space="preserve">в копиях, соответствие которых оригиналу подтверждено собственноручной или квалифицированной электронной подписью органа управления/члена органа управления небанковского поставщика платежных услуг, в течение 20 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t>рабочих дней с даты утверждения</w:t>
      </w:r>
      <w:r w:rsidR="00115B64" w:rsidRPr="00064CD6">
        <w:rPr>
          <w:rFonts w:ascii="PermianSerifTypeface" w:hAnsi="PermianSerifTypeface"/>
          <w:sz w:val="24"/>
          <w:szCs w:val="24"/>
          <w:lang w:val="ru-RU"/>
        </w:rPr>
        <w:t xml:space="preserve">/назначения субъекта 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t xml:space="preserve"> аудита 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lastRenderedPageBreak/>
        <w:t>общим собранием акционер</w:t>
      </w:r>
      <w:r w:rsidR="00115B64" w:rsidRPr="00064CD6">
        <w:rPr>
          <w:rFonts w:ascii="PermianSerifTypeface" w:hAnsi="PermianSerifTypeface"/>
          <w:sz w:val="24"/>
          <w:szCs w:val="24"/>
          <w:lang w:val="ru-RU"/>
        </w:rPr>
        <w:t>ов/участников</w:t>
      </w:r>
      <w:r w:rsidR="000D3F7D" w:rsidRPr="00064CD6">
        <w:rPr>
          <w:rFonts w:ascii="PermianSerifTypeface" w:hAnsi="PermianSerifTypeface"/>
          <w:sz w:val="24"/>
          <w:szCs w:val="24"/>
          <w:lang w:val="ru-RU"/>
        </w:rPr>
        <w:t xml:space="preserve"> небанковского поставщика платежных услуг</w:t>
      </w:r>
      <w:r w:rsidR="00115B64" w:rsidRPr="00064CD6">
        <w:rPr>
          <w:rFonts w:ascii="PermianSerifTypeface" w:hAnsi="PermianSerifTypeface"/>
          <w:sz w:val="24"/>
          <w:szCs w:val="24"/>
          <w:lang w:val="ru-RU"/>
        </w:rPr>
        <w:t xml:space="preserve">  </w:t>
      </w:r>
      <w:r w:rsidR="0092089B" w:rsidRPr="00064CD6">
        <w:rPr>
          <w:rFonts w:ascii="PermianSerifTypeface" w:hAnsi="PermianSerifTypeface"/>
          <w:sz w:val="24"/>
          <w:szCs w:val="24"/>
          <w:lang w:val="ru-RU"/>
        </w:rPr>
        <w:t xml:space="preserve"> или, в зависимости от обстоятельств, руководящим органом, уполномоченным законом</w:t>
      </w:r>
      <w:r w:rsidR="009542C3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</w:p>
    <w:p w14:paraId="6408B8B2" w14:textId="705CE987" w:rsidR="009542C3" w:rsidRPr="00064CD6" w:rsidRDefault="009542C3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061B86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0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9E6E0E" w:rsidRPr="00064CD6">
        <w:rPr>
          <w:rFonts w:ascii="PermianSerifTypeface" w:hAnsi="PermianSerifTypeface"/>
          <w:sz w:val="24"/>
          <w:szCs w:val="24"/>
          <w:lang w:val="ru-RU" w:eastAsia="ro-MD"/>
        </w:rPr>
        <w:t>Национальный банк Молдовы проверяет полноту документов и информации, указанных в пункте 8, в течение 5 рабочих дней со дня их получения</w:t>
      </w:r>
      <w:r w:rsidR="00151DC8">
        <w:rPr>
          <w:rFonts w:ascii="PermianSerifTypeface" w:hAnsi="PermianSerifTypeface"/>
          <w:sz w:val="24"/>
          <w:szCs w:val="24"/>
          <w:lang w:val="ro-RO" w:eastAsia="ro-MD"/>
        </w:rPr>
        <w:t xml:space="preserve">, </w:t>
      </w:r>
      <w:r w:rsidR="00151DC8" w:rsidRPr="00151DC8">
        <w:rPr>
          <w:rFonts w:ascii="PermianSerifTypeface" w:hAnsi="PermianSerifTypeface"/>
          <w:sz w:val="24"/>
          <w:szCs w:val="24"/>
          <w:lang w:val="ru-RU" w:eastAsia="ro-MD"/>
        </w:rPr>
        <w:t>имея право потребовать от небанковского поставщика платежных услуг представление любых документов, указанных в пункте 8, в оригинале, если сочтет это необходимым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58BC99B4" w14:textId="65502F9D" w:rsidR="0074414A" w:rsidRPr="00064CD6" w:rsidRDefault="0074414A" w:rsidP="0074414A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FF5987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bookmarkStart w:id="2" w:name="_Hlk169083304"/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Если в результате проверки полноты будет установлено, что представленные документы и </w:t>
      </w:r>
      <w:r w:rsidR="003218FD" w:rsidRPr="00064CD6">
        <w:rPr>
          <w:rFonts w:ascii="PermianSerifTypeface" w:hAnsi="PermianSerifTypeface"/>
          <w:sz w:val="24"/>
          <w:szCs w:val="24"/>
          <w:lang w:val="ru-RU" w:eastAsia="ro-MD"/>
        </w:rPr>
        <w:t>информаци</w:t>
      </w:r>
      <w:r w:rsidR="003218FD">
        <w:rPr>
          <w:rFonts w:ascii="PermianSerifTypeface" w:hAnsi="PermianSerifTypeface"/>
          <w:sz w:val="24"/>
          <w:szCs w:val="24"/>
          <w:lang w:val="ru-RU" w:eastAsia="ro-MD"/>
        </w:rPr>
        <w:t>и</w:t>
      </w:r>
      <w:r w:rsidR="003218F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>являются неполными</w:t>
      </w:r>
      <w:r w:rsidR="00097E63" w:rsidRPr="00097E63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097E63" w:rsidRPr="00D04150">
        <w:rPr>
          <w:rFonts w:ascii="PermianSerifTypeface" w:hAnsi="PermianSerifTypeface"/>
          <w:sz w:val="24"/>
          <w:szCs w:val="24"/>
          <w:lang w:val="ru-RU" w:eastAsia="ro-MD"/>
        </w:rPr>
        <w:t>или, в зависимости от обстоятельств, необходимо представить их в оригинале в соответствии с пунктом 10,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Национальный банк Молдовы письменно информирует небанковского поставщика платежных услуг об недостающих документах и </w:t>
      </w:r>
      <w:r w:rsidR="00654F2D" w:rsidRPr="00064CD6">
        <w:rPr>
          <w:rFonts w:ascii="Cambria Math" w:hAnsi="Cambria Math" w:cs="Cambria Math"/>
          <w:sz w:val="24"/>
          <w:szCs w:val="24"/>
          <w:lang w:val="ru-RU" w:eastAsia="ro-MD"/>
        </w:rPr>
        <w:t>​​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информации</w:t>
      </w:r>
      <w:r w:rsidR="00097E63">
        <w:rPr>
          <w:rFonts w:ascii="PermianSerifTypeface" w:hAnsi="PermianSerifTypeface" w:cs="PermianSerifTypeface"/>
          <w:sz w:val="24"/>
          <w:szCs w:val="24"/>
          <w:lang w:val="ro-RO" w:eastAsia="ro-MD"/>
        </w:rPr>
        <w:t xml:space="preserve"> </w:t>
      </w:r>
      <w:r w:rsidR="00097E63" w:rsidRPr="00D04150">
        <w:rPr>
          <w:rFonts w:ascii="PermianSerifTypeface" w:hAnsi="PermianSerifTypeface" w:cs="PermianSerifTypeface"/>
          <w:sz w:val="24"/>
          <w:szCs w:val="24"/>
          <w:lang w:val="ru-RU" w:eastAsia="ro-MD"/>
        </w:rPr>
        <w:t>и/или оригиналах, которые необходимо представить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Поставщик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небанковских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платежных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услуг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в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течение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15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рабочих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дней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3218FD" w:rsidRPr="00064CD6">
        <w:rPr>
          <w:rFonts w:ascii="PermianSerifTypeface" w:hAnsi="PermianSerifTypeface"/>
          <w:sz w:val="24"/>
          <w:szCs w:val="24"/>
          <w:lang w:val="ru-RU" w:eastAsia="ro-MD"/>
        </w:rPr>
        <w:t>со дня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получения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письма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от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Национального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банка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Молдовы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заполняет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и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представляет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в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Национальный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банк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Молдовы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097E63" w:rsidRPr="00D04150">
        <w:rPr>
          <w:rFonts w:ascii="PermianSerifTypeface" w:hAnsi="PermianSerifTypeface"/>
          <w:sz w:val="24"/>
          <w:szCs w:val="24"/>
          <w:lang w:val="ru-RU"/>
        </w:rPr>
        <w:t>затребованные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документы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и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>/</w:t>
      </w:r>
      <w:r w:rsidR="00654F2D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или</w:t>
      </w:r>
      <w:r w:rsidR="00654F2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bookmarkEnd w:id="2"/>
      <w:r w:rsidR="001E6360" w:rsidRPr="00064CD6">
        <w:rPr>
          <w:rFonts w:ascii="PermianSerifTypeface" w:hAnsi="PermianSerifTypeface" w:cs="PermianSerifTypeface"/>
          <w:sz w:val="24"/>
          <w:szCs w:val="24"/>
          <w:lang w:val="ru-RU" w:eastAsia="ro-MD"/>
        </w:rPr>
        <w:t>ин</w:t>
      </w:r>
      <w:r w:rsidR="001E6360" w:rsidRPr="00064CD6">
        <w:rPr>
          <w:rFonts w:ascii="PermianSerifTypeface" w:hAnsi="PermianSerifTypeface"/>
          <w:sz w:val="24"/>
          <w:szCs w:val="24"/>
          <w:lang w:val="ru-RU" w:eastAsia="ro-MD"/>
        </w:rPr>
        <w:t>формаци</w:t>
      </w:r>
      <w:r w:rsidR="001E6360">
        <w:rPr>
          <w:rFonts w:ascii="PermianSerifTypeface" w:hAnsi="PermianSerifTypeface"/>
          <w:sz w:val="24"/>
          <w:szCs w:val="24"/>
          <w:lang w:val="ru-RU" w:eastAsia="ro-MD"/>
        </w:rPr>
        <w:t>и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</w:p>
    <w:p w14:paraId="56618227" w14:textId="3523B116" w:rsidR="0074414A" w:rsidRPr="00064CD6" w:rsidRDefault="0074414A" w:rsidP="0074414A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FF5987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 xml:space="preserve">Если </w:t>
      </w:r>
      <w:r w:rsidR="006532A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небанковский поставщик платежных услуг 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 xml:space="preserve">не </w:t>
      </w:r>
      <w:r w:rsidR="006532A8" w:rsidRPr="00064CD6">
        <w:rPr>
          <w:rFonts w:ascii="PermianSerifTypeface" w:hAnsi="PermianSerifTypeface"/>
          <w:sz w:val="24"/>
          <w:szCs w:val="24"/>
          <w:lang w:val="ru-RU"/>
        </w:rPr>
        <w:t>представил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 xml:space="preserve"> документ</w:t>
      </w:r>
      <w:r w:rsidR="006532A8" w:rsidRPr="00064CD6">
        <w:rPr>
          <w:rFonts w:ascii="PermianSerifTypeface" w:hAnsi="PermianSerifTypeface"/>
          <w:sz w:val="24"/>
          <w:szCs w:val="24"/>
          <w:lang w:val="ru-RU"/>
        </w:rPr>
        <w:t xml:space="preserve">ы и/или </w:t>
      </w:r>
      <w:r w:rsidR="00450A21" w:rsidRPr="00064CD6">
        <w:rPr>
          <w:rFonts w:ascii="PermianSerifTypeface" w:hAnsi="PermianSerifTypeface"/>
          <w:sz w:val="24"/>
          <w:szCs w:val="24"/>
          <w:lang w:val="ru-RU"/>
        </w:rPr>
        <w:t>информаци</w:t>
      </w:r>
      <w:r w:rsidR="00450A21">
        <w:rPr>
          <w:rFonts w:ascii="PermianSerifTypeface" w:hAnsi="PermianSerifTypeface"/>
          <w:sz w:val="24"/>
          <w:szCs w:val="24"/>
          <w:lang w:val="ru-RU"/>
        </w:rPr>
        <w:t>и</w:t>
      </w:r>
      <w:r w:rsidR="00450A21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97E63" w:rsidRPr="00D04150">
        <w:rPr>
          <w:rFonts w:ascii="PermianSerifTypeface" w:hAnsi="PermianSerifTypeface"/>
          <w:sz w:val="24"/>
          <w:szCs w:val="24"/>
          <w:lang w:val="ru-RU"/>
        </w:rPr>
        <w:t xml:space="preserve">и/или оригинальные документы, затребованные согласно пункту 10, 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>в сроки, указанные в пункте 1</w:t>
      </w:r>
      <w:r w:rsidR="00591F34" w:rsidRPr="00064CD6">
        <w:rPr>
          <w:rFonts w:ascii="PermianSerifTypeface" w:hAnsi="PermianSerifTypeface"/>
          <w:sz w:val="24"/>
          <w:szCs w:val="24"/>
          <w:lang w:val="ru-RU"/>
        </w:rPr>
        <w:t>1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 xml:space="preserve">, Национальный банк Молдовы информирует </w:t>
      </w:r>
      <w:r w:rsidR="00591F34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небанковского поставщика платежных услуг</w:t>
      </w:r>
      <w:r w:rsidR="00EB72EA" w:rsidRPr="00064CD6">
        <w:rPr>
          <w:rFonts w:ascii="PermianSerifTypeface" w:hAnsi="PermianSerifTypeface"/>
          <w:sz w:val="24"/>
          <w:szCs w:val="24"/>
          <w:lang w:val="ru-RU"/>
        </w:rPr>
        <w:t xml:space="preserve"> о прекращении административной процедуры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253AD1FD" w14:textId="6A110B06" w:rsidR="003B4AD4" w:rsidRPr="00064CD6" w:rsidRDefault="0074414A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FF5987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3</w:t>
      </w: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591F34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Национальный банк Молдовы в течение 30 дней со дня получения полного </w:t>
      </w:r>
      <w:r w:rsidR="002A76D4" w:rsidRPr="00064CD6">
        <w:rPr>
          <w:rFonts w:ascii="PermianSerifTypeface" w:hAnsi="PermianSerifTypeface"/>
          <w:sz w:val="24"/>
          <w:szCs w:val="24"/>
          <w:lang w:val="ru-RU" w:eastAsia="ro-MD"/>
        </w:rPr>
        <w:t>паке</w:t>
      </w:r>
      <w:r w:rsidR="00591F34" w:rsidRPr="00064CD6">
        <w:rPr>
          <w:rFonts w:ascii="PermianSerifTypeface" w:hAnsi="PermianSerifTypeface"/>
          <w:sz w:val="24"/>
          <w:szCs w:val="24"/>
          <w:lang w:val="ru-RU" w:eastAsia="ro-MD"/>
        </w:rPr>
        <w:t>та документов и информации утверждает или отказывает в утверждении назначенного субъекта аудита, письменно информируя о своем решении небанковского поставщика платежных услуг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</w:p>
    <w:p w14:paraId="27C26661" w14:textId="005DA677" w:rsidR="00D84C55" w:rsidRPr="00064CD6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FF5987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4</w:t>
      </w:r>
      <w:r w:rsidR="00D84C5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D84C5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8854F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586929" w:rsidRPr="00064CD6">
        <w:rPr>
          <w:rFonts w:ascii="PermianSerifTypeface" w:hAnsi="PermianSerifTypeface"/>
          <w:sz w:val="24"/>
          <w:szCs w:val="24"/>
          <w:lang w:val="ru-RU"/>
        </w:rPr>
        <w:t xml:space="preserve">Национальный банк Молдовы </w:t>
      </w:r>
      <w:r w:rsidR="001E6360">
        <w:rPr>
          <w:rFonts w:ascii="PermianSerifTypeface" w:hAnsi="PermianSerifTypeface"/>
          <w:sz w:val="24"/>
          <w:szCs w:val="24"/>
          <w:lang w:val="ru-RU"/>
        </w:rPr>
        <w:t>может</w:t>
      </w:r>
      <w:r w:rsidR="00586929" w:rsidRPr="00064CD6">
        <w:rPr>
          <w:rFonts w:ascii="PermianSerifTypeface" w:hAnsi="PermianSerifTypeface"/>
          <w:sz w:val="24"/>
          <w:szCs w:val="24"/>
          <w:lang w:val="ru-RU"/>
        </w:rPr>
        <w:t xml:space="preserve"> требовать дополнительные документы и информации, консультировать органы публичного управления или другие юридические лица о деятельности субъекта аудита и/или член</w:t>
      </w:r>
      <w:r w:rsidR="00946CD6" w:rsidRPr="00064CD6">
        <w:rPr>
          <w:rFonts w:ascii="PermianSerifTypeface" w:hAnsi="PermianSerifTypeface"/>
          <w:sz w:val="24"/>
          <w:szCs w:val="24"/>
          <w:lang w:val="ru-RU"/>
        </w:rPr>
        <w:t>ов</w:t>
      </w:r>
      <w:r w:rsidR="00586929" w:rsidRPr="00064CD6">
        <w:rPr>
          <w:rFonts w:ascii="PermianSerifTypeface" w:hAnsi="PermianSerifTypeface"/>
          <w:sz w:val="24"/>
          <w:szCs w:val="24"/>
          <w:lang w:val="ru-RU"/>
        </w:rPr>
        <w:t xml:space="preserve"> группы </w:t>
      </w:r>
      <w:r w:rsidR="00946CD6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586929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946CD6" w:rsidRPr="00064CD6">
        <w:rPr>
          <w:rFonts w:ascii="PermianSerifTypeface" w:hAnsi="PermianSerifTypeface"/>
          <w:sz w:val="24"/>
          <w:szCs w:val="24"/>
          <w:lang w:val="ru-RU"/>
        </w:rPr>
        <w:t xml:space="preserve">. Срок административной процедуры, указанной в пункте 13, приостанавливается в соответствии со ст. 81 </w:t>
      </w:r>
      <w:r w:rsidR="00727B65" w:rsidRPr="00064CD6">
        <w:rPr>
          <w:rFonts w:ascii="PermianSerifTypeface" w:hAnsi="PermianSerifTypeface"/>
          <w:sz w:val="24"/>
          <w:szCs w:val="24"/>
          <w:lang w:val="ru-RU"/>
        </w:rPr>
        <w:t xml:space="preserve">Административного кодекса № </w:t>
      </w:r>
      <w:r w:rsidR="008854F0" w:rsidRPr="00064CD6">
        <w:rPr>
          <w:rFonts w:ascii="PermianSerifTypeface" w:hAnsi="PermianSerifTypeface"/>
          <w:sz w:val="24"/>
          <w:szCs w:val="24"/>
          <w:lang w:val="ru-RU" w:eastAsia="ro-MD"/>
        </w:rPr>
        <w:t>116/2018.</w:t>
      </w:r>
    </w:p>
    <w:p w14:paraId="3C6D6518" w14:textId="5228C19B" w:rsidR="008760E8" w:rsidRPr="00064CD6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</w:t>
      </w:r>
      <w:r w:rsidR="00FF5987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5</w:t>
      </w:r>
      <w:r w:rsidR="008760E8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.</w:t>
      </w:r>
      <w:r w:rsidR="008760E8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727B6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Небанковский поставщик платежных услуг </w:t>
      </w:r>
      <w:r w:rsidR="00727B65" w:rsidRPr="00064CD6">
        <w:rPr>
          <w:rFonts w:ascii="PermianSerifTypeface" w:hAnsi="PermianSerifTypeface"/>
          <w:sz w:val="24"/>
          <w:szCs w:val="24"/>
          <w:lang w:val="ru-RU"/>
        </w:rPr>
        <w:t xml:space="preserve">обязан представить дополнительные документы и </w:t>
      </w:r>
      <w:r w:rsidR="001E6360" w:rsidRPr="00064CD6">
        <w:rPr>
          <w:rFonts w:ascii="PermianSerifTypeface" w:hAnsi="PermianSerifTypeface"/>
          <w:sz w:val="24"/>
          <w:szCs w:val="24"/>
          <w:lang w:val="ru-RU"/>
        </w:rPr>
        <w:t>информаци</w:t>
      </w:r>
      <w:r w:rsidR="001E6360">
        <w:rPr>
          <w:rFonts w:ascii="PermianSerifTypeface" w:hAnsi="PermianSerifTypeface"/>
          <w:sz w:val="24"/>
          <w:szCs w:val="24"/>
          <w:lang w:val="ru-RU"/>
        </w:rPr>
        <w:t>и</w:t>
      </w:r>
      <w:r w:rsidR="001E6360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8911CE" w:rsidRPr="00064CD6">
        <w:rPr>
          <w:rFonts w:ascii="PermianSerifTypeface" w:hAnsi="PermianSerifTypeface"/>
          <w:sz w:val="24"/>
          <w:szCs w:val="24"/>
          <w:lang w:val="ru-RU"/>
        </w:rPr>
        <w:t>в соответствии с пунктом 14</w:t>
      </w:r>
      <w:r w:rsidR="00D47BD4">
        <w:rPr>
          <w:rFonts w:ascii="PermianSerifTypeface" w:hAnsi="PermianSerifTypeface"/>
          <w:sz w:val="24"/>
          <w:szCs w:val="24"/>
          <w:lang w:val="ru-RU"/>
        </w:rPr>
        <w:t>,</w:t>
      </w:r>
      <w:r w:rsidR="00727B65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proofErr w:type="gramStart"/>
      <w:r w:rsidR="00727B65" w:rsidRPr="00064CD6">
        <w:rPr>
          <w:rFonts w:ascii="PermianSerifTypeface" w:hAnsi="PermianSerifTypeface"/>
          <w:sz w:val="24"/>
          <w:szCs w:val="24"/>
          <w:lang w:val="ru-RU"/>
        </w:rPr>
        <w:t>в срок</w:t>
      </w:r>
      <w:proofErr w:type="gramEnd"/>
      <w:r w:rsidR="00727B65" w:rsidRPr="00064CD6">
        <w:rPr>
          <w:rFonts w:ascii="PermianSerifTypeface" w:hAnsi="PermianSerifTypeface"/>
          <w:sz w:val="24"/>
          <w:szCs w:val="24"/>
          <w:lang w:val="ru-RU"/>
        </w:rPr>
        <w:t xml:space="preserve"> указанный Национальным банком Молдовы</w:t>
      </w:r>
      <w:r w:rsidR="008760E8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</w:p>
    <w:p w14:paraId="185F5D18" w14:textId="00982803" w:rsidR="008760E8" w:rsidRPr="00064CD6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</w:t>
      </w:r>
      <w:r w:rsidR="00AC30DE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6</w:t>
      </w:r>
      <w:r w:rsidR="008760E8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.</w:t>
      </w:r>
      <w:r w:rsidR="008760E8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DF02BA" w:rsidRPr="00064CD6">
        <w:rPr>
          <w:rFonts w:ascii="PermianSerifTypeface" w:hAnsi="PermianSerifTypeface"/>
          <w:sz w:val="24"/>
          <w:szCs w:val="24"/>
          <w:lang w:val="ru-RU"/>
        </w:rPr>
        <w:t>В решении Национального банка Молдовы об отказе утвердить субъект аудита указываются причина/причины</w:t>
      </w:r>
      <w:r w:rsidR="00D47BD4">
        <w:rPr>
          <w:rFonts w:ascii="PermianSerifTypeface" w:hAnsi="PermianSerifTypeface"/>
          <w:sz w:val="24"/>
          <w:szCs w:val="24"/>
          <w:lang w:val="ru-RU"/>
        </w:rPr>
        <w:t>,</w:t>
      </w:r>
      <w:r w:rsidR="00DF02BA" w:rsidRPr="00064CD6">
        <w:rPr>
          <w:rFonts w:ascii="PermianSerifTypeface" w:hAnsi="PermianSerifTypeface"/>
          <w:sz w:val="24"/>
          <w:szCs w:val="24"/>
          <w:lang w:val="ru-RU"/>
        </w:rPr>
        <w:t xml:space="preserve"> на основе которых отклоняется утверждении субъекта аудит</w:t>
      </w:r>
      <w:r w:rsidR="00D47BD4">
        <w:rPr>
          <w:rFonts w:ascii="PermianSerifTypeface" w:hAnsi="PermianSerifTypeface"/>
          <w:sz w:val="24"/>
          <w:szCs w:val="24"/>
          <w:lang w:val="ru-RU"/>
        </w:rPr>
        <w:t>,</w:t>
      </w:r>
      <w:r w:rsidR="00DF02BA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C032C1" w:rsidRPr="00064CD6">
        <w:rPr>
          <w:rFonts w:ascii="PermianSerifTypeface" w:hAnsi="PermianSerifTypeface"/>
          <w:sz w:val="24"/>
          <w:szCs w:val="24"/>
          <w:lang w:val="ru-RU"/>
        </w:rPr>
        <w:t xml:space="preserve">назначенного </w:t>
      </w:r>
      <w:r w:rsidR="00C032C1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небанковским поставщиком платежных услуг</w:t>
      </w:r>
      <w:r w:rsidR="00DF02BA" w:rsidRPr="00064CD6">
        <w:rPr>
          <w:rFonts w:ascii="PermianSerifTypeface" w:hAnsi="PermianSerifTypeface"/>
          <w:sz w:val="24"/>
          <w:szCs w:val="24"/>
          <w:lang w:val="ru-RU"/>
        </w:rPr>
        <w:t>. Основаниями для отказа являются</w:t>
      </w:r>
      <w:r w:rsidR="000858B7" w:rsidRPr="00064CD6">
        <w:rPr>
          <w:rFonts w:ascii="PermianSerifTypeface" w:hAnsi="PermianSerifTypeface"/>
          <w:sz w:val="24"/>
          <w:szCs w:val="24"/>
          <w:lang w:val="ro-RO" w:eastAsia="ro-MD"/>
        </w:rPr>
        <w:t>:</w:t>
      </w:r>
    </w:p>
    <w:p w14:paraId="1D831EB6" w14:textId="37FAEA4E" w:rsidR="008760E8" w:rsidRPr="00064CD6" w:rsidRDefault="00B434EC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>16.1.</w:t>
      </w:r>
      <w:r w:rsidR="008760E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1D012E" w:rsidRPr="00064CD6">
        <w:rPr>
          <w:rFonts w:ascii="PermianSerifTypeface" w:hAnsi="PermianSerifTypeface"/>
          <w:sz w:val="24"/>
          <w:szCs w:val="24"/>
          <w:lang w:val="ru-RU"/>
        </w:rPr>
        <w:t xml:space="preserve">Представление в Национальный банк Молдовы противоречивой или ошибочной информации и документов для принятия решения об утверждении </w:t>
      </w:r>
      <w:r w:rsidR="008D13D1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1D012E" w:rsidRPr="00064CD6">
        <w:rPr>
          <w:rFonts w:ascii="PermianSerifTypeface" w:hAnsi="PermianSerifTypeface"/>
          <w:sz w:val="24"/>
          <w:szCs w:val="24"/>
          <w:lang w:val="ru-RU"/>
        </w:rPr>
        <w:t>аудита</w:t>
      </w:r>
      <w:r w:rsidR="008760E8" w:rsidRPr="00064CD6">
        <w:rPr>
          <w:rFonts w:ascii="PermianSerifTypeface" w:hAnsi="PermianSerifTypeface"/>
          <w:sz w:val="24"/>
          <w:szCs w:val="24"/>
          <w:lang w:val="ru-RU" w:eastAsia="ro-MD"/>
        </w:rPr>
        <w:t>;</w:t>
      </w:r>
    </w:p>
    <w:p w14:paraId="73F31A7E" w14:textId="237C6681" w:rsidR="00FB4ACB" w:rsidRPr="00064CD6" w:rsidRDefault="00B434EC" w:rsidP="00D40348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lastRenderedPageBreak/>
        <w:t>16.</w:t>
      </w:r>
      <w:r w:rsidR="00604140" w:rsidRPr="00064CD6">
        <w:rPr>
          <w:rFonts w:ascii="PermianSerifTypeface" w:hAnsi="PermianSerifTypeface"/>
          <w:sz w:val="24"/>
          <w:szCs w:val="24"/>
          <w:lang w:val="ru-RU" w:eastAsia="ro-MD"/>
        </w:rPr>
        <w:t>2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  <w:r w:rsidR="008760E8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8D13D1" w:rsidRPr="00064CD6">
        <w:rPr>
          <w:rFonts w:ascii="PermianSerifTypeface" w:hAnsi="PermianSerifTypeface"/>
          <w:sz w:val="24"/>
          <w:szCs w:val="24"/>
          <w:lang w:val="ru-RU"/>
        </w:rPr>
        <w:t xml:space="preserve">Несоответствие субъекта аудита по меньшей мере одному из критериев, указанных в пунктах 5 и </w:t>
      </w:r>
      <w:r w:rsidR="00825D05" w:rsidRPr="00064CD6">
        <w:rPr>
          <w:rFonts w:ascii="PermianSerifTypeface" w:hAnsi="PermianSerifTypeface"/>
          <w:sz w:val="24"/>
          <w:szCs w:val="24"/>
          <w:lang w:val="ru-RU"/>
        </w:rPr>
        <w:t>части (1) ст</w:t>
      </w:r>
      <w:r w:rsidR="001A5009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30 </w:t>
      </w:r>
      <w:r w:rsidR="00825D05" w:rsidRPr="00064CD6">
        <w:rPr>
          <w:rFonts w:ascii="PermianSerifTypeface" w:hAnsi="PermianSerifTypeface"/>
          <w:sz w:val="24"/>
          <w:szCs w:val="24"/>
          <w:lang w:val="ru-RU" w:eastAsia="ro-MD"/>
        </w:rPr>
        <w:t>Закона №</w:t>
      </w:r>
      <w:r w:rsidR="001A5009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114/2012</w:t>
      </w:r>
      <w:r w:rsidR="00C14A0E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  <w:r w:rsidR="00D84C5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</w:p>
    <w:p w14:paraId="22D75054" w14:textId="1B872DFE" w:rsidR="004E7C20" w:rsidRPr="00064CD6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1</w:t>
      </w:r>
      <w:r w:rsidR="0042143C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7</w:t>
      </w:r>
      <w:r w:rsidR="004846D5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4846D5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proofErr w:type="gramStart"/>
      <w:r w:rsidR="007B6323" w:rsidRPr="00064CD6">
        <w:rPr>
          <w:rFonts w:ascii="PermianSerifTypeface" w:hAnsi="PermianSerifTypeface"/>
          <w:sz w:val="24"/>
          <w:szCs w:val="24"/>
          <w:lang w:val="ru-RU"/>
        </w:rPr>
        <w:t>В период аудита</w:t>
      </w:r>
      <w:r w:rsidR="001E6360" w:rsidRPr="00FD1BB1">
        <w:rPr>
          <w:rFonts w:ascii="PermianSerifTypeface" w:hAnsi="PermianSerifTypeface"/>
          <w:color w:val="FF0000"/>
          <w:sz w:val="24"/>
          <w:szCs w:val="24"/>
          <w:lang w:val="ru-RU"/>
        </w:rPr>
        <w:t>,</w:t>
      </w:r>
      <w:proofErr w:type="gramEnd"/>
      <w:r w:rsidR="007B6323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>н</w:t>
      </w:r>
      <w:r w:rsidR="00946B81" w:rsidRPr="00064CD6">
        <w:rPr>
          <w:rFonts w:ascii="PermianSerifTypeface" w:hAnsi="PermianSerifTypeface"/>
          <w:sz w:val="24"/>
          <w:szCs w:val="24"/>
          <w:lang w:val="ru-RU" w:eastAsia="ro-MD"/>
        </w:rPr>
        <w:t>ебанковский поставщик платежных услуг</w:t>
      </w:r>
      <w:r w:rsidR="007B6323" w:rsidRPr="00064CD6">
        <w:rPr>
          <w:rFonts w:ascii="PermianSerifTypeface" w:hAnsi="PermianSerifTypeface"/>
          <w:sz w:val="24"/>
          <w:szCs w:val="24"/>
          <w:lang w:val="ru-RU"/>
        </w:rPr>
        <w:t xml:space="preserve"> обязан письменно уведомить Национальный банк Молдовы в течение 3 рабочих дней 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 xml:space="preserve">со дня, когда ему стало известно о любых </w:t>
      </w:r>
      <w:r w:rsidR="007D2AEB" w:rsidRPr="00064CD6">
        <w:rPr>
          <w:rFonts w:ascii="PermianSerifTypeface" w:hAnsi="PermianSerifTypeface"/>
          <w:sz w:val="24"/>
          <w:szCs w:val="24"/>
          <w:lang w:val="ru-RU"/>
        </w:rPr>
        <w:t xml:space="preserve">внесенных 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>изменениях в документ</w:t>
      </w:r>
      <w:r w:rsidR="0086317B" w:rsidRPr="00064CD6">
        <w:rPr>
          <w:rFonts w:ascii="PermianSerifTypeface" w:hAnsi="PermianSerifTypeface"/>
          <w:sz w:val="24"/>
          <w:szCs w:val="24"/>
          <w:lang w:val="ru-RU"/>
        </w:rPr>
        <w:t>ах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 xml:space="preserve"> и информаци</w:t>
      </w:r>
      <w:r w:rsidR="0086317B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>, представленны</w:t>
      </w:r>
      <w:r w:rsidR="007D2AEB" w:rsidRPr="00064CD6">
        <w:rPr>
          <w:rFonts w:ascii="PermianSerifTypeface" w:hAnsi="PermianSerifTypeface"/>
          <w:sz w:val="24"/>
          <w:szCs w:val="24"/>
          <w:lang w:val="ru-RU"/>
        </w:rPr>
        <w:t>х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 xml:space="preserve"> в процессе утверждения субъекта аудита, включая изменение в составе </w:t>
      </w:r>
      <w:r w:rsidR="0086317B" w:rsidRPr="00064CD6">
        <w:rPr>
          <w:rFonts w:ascii="PermianSerifTypeface" w:hAnsi="PermianSerifTypeface"/>
          <w:sz w:val="24"/>
          <w:szCs w:val="24"/>
          <w:lang w:val="ru-RU"/>
        </w:rPr>
        <w:t>группы</w:t>
      </w:r>
      <w:r w:rsidR="00946B81" w:rsidRPr="00064CD6">
        <w:rPr>
          <w:rFonts w:ascii="PermianSerifTypeface" w:hAnsi="PermianSerifTypeface"/>
          <w:sz w:val="24"/>
          <w:szCs w:val="24"/>
          <w:lang w:val="ru-RU"/>
        </w:rPr>
        <w:t xml:space="preserve"> субъекта аудита</w:t>
      </w:r>
      <w:r w:rsidR="0074414A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11C36FF6" w14:textId="3A1E6FE8" w:rsidR="004846D5" w:rsidRPr="00064CD6" w:rsidRDefault="007D2AEB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Национальный банк Молдовы оценит информацию в течение 10 рабочих дней, проинформировав в течение этого срока в письменной форме </w:t>
      </w:r>
      <w:r w:rsidR="00BD4BB2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небанковского 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поставщика платежных услуг о соответствии/несоответствии </w:t>
      </w:r>
      <w:r w:rsidR="00BD4BB2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субъекта 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аудит</w:t>
      </w:r>
      <w:r w:rsidR="00BD4BB2" w:rsidRPr="00064CD6">
        <w:rPr>
          <w:rFonts w:ascii="PermianSerifTypeface" w:hAnsi="PermianSerifTypeface"/>
          <w:sz w:val="24"/>
          <w:szCs w:val="24"/>
          <w:lang w:val="ru-RU" w:eastAsia="ro-MD"/>
        </w:rPr>
        <w:t>а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>/аудиторской группы, назначенной для соответствующей аудиторской миссии, с критериями и требованиями, указанными в пунктах 5 и 6</w:t>
      </w:r>
      <w:r w:rsidR="0048506D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67E70185" w14:textId="1EEC9F24" w:rsidR="004846D5" w:rsidRPr="00064CD6" w:rsidRDefault="00460C46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</w:t>
      </w:r>
      <w:r w:rsidR="00AC7026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8</w:t>
      </w:r>
      <w:r w:rsidR="004846D5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.</w:t>
      </w:r>
      <w:r w:rsidR="004846D5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A45685" w:rsidRPr="00064CD6">
        <w:rPr>
          <w:rFonts w:ascii="PermianSerifTypeface" w:hAnsi="PermianSerifTypeface"/>
          <w:sz w:val="24"/>
          <w:szCs w:val="24"/>
          <w:lang w:val="ru-RU"/>
        </w:rPr>
        <w:t>Если субъект аудита не выполняет соответствующим образом полномочия, предусмотренные Законом № 114/2012, в том числе не выполняет условия, указанные в пункте 5</w:t>
      </w:r>
      <w:r w:rsidR="001E6360">
        <w:rPr>
          <w:rFonts w:ascii="PermianSerifTypeface" w:hAnsi="PermianSerifTypeface"/>
          <w:sz w:val="24"/>
          <w:szCs w:val="24"/>
          <w:lang w:val="ru-RU"/>
        </w:rPr>
        <w:t xml:space="preserve"> и 6</w:t>
      </w:r>
      <w:r w:rsidR="00A45685" w:rsidRPr="00064CD6">
        <w:rPr>
          <w:rFonts w:ascii="PermianSerifTypeface" w:hAnsi="PermianSerifTypeface"/>
          <w:sz w:val="24"/>
          <w:szCs w:val="24"/>
          <w:lang w:val="ru-RU"/>
        </w:rPr>
        <w:t xml:space="preserve"> и/или не выполняет требования этического и профессионального поведения согласно решениям Совета </w:t>
      </w:r>
      <w:r w:rsidR="005D494F" w:rsidRPr="00064CD6">
        <w:rPr>
          <w:rFonts w:ascii="PermianSerifTypeface" w:hAnsi="PermianSerifTypeface"/>
          <w:sz w:val="24"/>
          <w:szCs w:val="24"/>
          <w:lang w:val="ru-RU"/>
        </w:rPr>
        <w:t>по публичному надзору за аудитом</w:t>
      </w:r>
      <w:r w:rsidR="00A45685" w:rsidRPr="00064CD6">
        <w:rPr>
          <w:rFonts w:ascii="PermianSerifTypeface" w:hAnsi="PermianSerifTypeface"/>
          <w:sz w:val="24"/>
          <w:szCs w:val="24"/>
          <w:lang w:val="ru-RU"/>
        </w:rPr>
        <w:t>, Национальный банк Молдовы отзывает утверждение или может предоставить срок для устранения выявленных несоответствий и недостатков</w:t>
      </w:r>
      <w:r w:rsidR="004846D5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23E2E569" w14:textId="730CA3BA" w:rsidR="005D494F" w:rsidRPr="00064CD6" w:rsidRDefault="00F72D08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19.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5D494F" w:rsidRPr="00064CD6">
        <w:rPr>
          <w:rFonts w:ascii="PermianSerifTypeface" w:hAnsi="PermianSerifTypeface"/>
          <w:sz w:val="24"/>
          <w:szCs w:val="24"/>
          <w:lang w:val="ru-RU"/>
        </w:rPr>
        <w:t xml:space="preserve">Если субъект 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>аудита не</w:t>
      </w:r>
      <w:r w:rsidR="005D494F" w:rsidRPr="00064CD6">
        <w:rPr>
          <w:rFonts w:ascii="PermianSerifTypeface" w:hAnsi="PermianSerifTypeface"/>
          <w:sz w:val="24"/>
          <w:szCs w:val="24"/>
          <w:lang w:val="ru-RU"/>
        </w:rPr>
        <w:t xml:space="preserve"> устраняет выявленные несоответствия и недостатки в сроки, установленные Национальным банком Молдовы, он отзывает утверждение, выданное 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субъекту </w:t>
      </w:r>
      <w:r w:rsidR="005D494F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>а.</w:t>
      </w:r>
    </w:p>
    <w:p w14:paraId="1552D821" w14:textId="135FB997" w:rsidR="004846D5" w:rsidRPr="00064CD6" w:rsidRDefault="00962FC9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20</w:t>
      </w:r>
      <w:r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. 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 xml:space="preserve">В случае отзыва утверждения субъекта аудита или предоставления срока для устранения выявленных несоответствий и недостатков Национальный банк Молдовы сообщает </w:t>
      </w:r>
      <w:r w:rsidR="00EA3780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небанковскому поставщик</w:t>
      </w:r>
      <w:r w:rsidR="003A29FB" w:rsidRPr="00064CD6">
        <w:rPr>
          <w:rFonts w:ascii="PermianSerifTypeface" w:hAnsi="PermianSerifTypeface"/>
          <w:sz w:val="24"/>
          <w:szCs w:val="24"/>
          <w:lang w:val="ru-RU" w:eastAsia="ro-MD"/>
        </w:rPr>
        <w:t>у</w:t>
      </w:r>
      <w:r w:rsidR="00EA3780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платежных услуг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9FB" w:rsidRPr="00064CD6">
        <w:rPr>
          <w:rFonts w:ascii="PermianSerifTypeface" w:hAnsi="PermianSerifTypeface"/>
          <w:sz w:val="24"/>
          <w:szCs w:val="24"/>
          <w:lang w:val="ru-RU"/>
        </w:rPr>
        <w:t>о принятом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 xml:space="preserve"> решени</w:t>
      </w:r>
      <w:r w:rsidR="003A29FB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="00EA3780" w:rsidRPr="00064CD6">
        <w:rPr>
          <w:rFonts w:ascii="PermianSerifTypeface" w:hAnsi="PermianSerifTypeface"/>
          <w:sz w:val="24"/>
          <w:szCs w:val="24"/>
          <w:lang w:val="ru-RU"/>
        </w:rPr>
        <w:t xml:space="preserve"> в этом отношении и причину 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>такого решения</w:t>
      </w:r>
      <w:r w:rsidR="00EF4267" w:rsidRPr="00064CD6">
        <w:rPr>
          <w:rFonts w:ascii="PermianSerifTypeface" w:hAnsi="PermianSerifTypeface"/>
          <w:sz w:val="24"/>
          <w:szCs w:val="24"/>
          <w:lang w:val="ro-RO" w:eastAsia="ro-MD"/>
        </w:rPr>
        <w:t>.</w:t>
      </w:r>
    </w:p>
    <w:p w14:paraId="1DA5D93E" w14:textId="3AC9F0D9" w:rsidR="00986E3F" w:rsidRPr="00064CD6" w:rsidRDefault="001A5009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2</w:t>
      </w:r>
      <w:r w:rsidR="00962FC9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1</w:t>
      </w:r>
      <w:r w:rsidR="00BE7A65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.</w:t>
      </w:r>
      <w:r w:rsidR="00BE7A65" w:rsidRPr="00064CD6">
        <w:rPr>
          <w:rFonts w:ascii="PermianSerifTypeface" w:hAnsi="PermianSerifTypeface"/>
          <w:sz w:val="24"/>
          <w:szCs w:val="24"/>
          <w:lang w:val="ro-RO" w:eastAsia="ro-MD"/>
        </w:rPr>
        <w:t xml:space="preserve"> 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После информирования </w:t>
      </w:r>
      <w:r w:rsidR="00AD68E1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небанковского поставщика платежных услуг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 об отказе утвердить </w:t>
      </w:r>
      <w:r w:rsidR="00AD68E1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 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AD68E1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 или отзыве утверждения выданного </w:t>
      </w:r>
      <w:r w:rsidR="00AD68E1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субъекту 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AD68E1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>, указанного в пунктах 13</w:t>
      </w:r>
      <w:r w:rsidR="00AD68E1" w:rsidRPr="00064CD6">
        <w:rPr>
          <w:rFonts w:ascii="PermianSerifTypeface" w:hAnsi="PermianSerifTypeface"/>
          <w:sz w:val="24"/>
          <w:szCs w:val="24"/>
          <w:lang w:val="ru-RU"/>
        </w:rPr>
        <w:t>, 18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 или 1</w:t>
      </w:r>
      <w:r w:rsidR="00221700" w:rsidRPr="00064CD6">
        <w:rPr>
          <w:rFonts w:ascii="PermianSerifTypeface" w:hAnsi="PermianSerifTypeface"/>
          <w:sz w:val="24"/>
          <w:szCs w:val="24"/>
          <w:lang w:val="ru-RU"/>
        </w:rPr>
        <w:t>9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, по обстоятельствам, </w:t>
      </w:r>
      <w:r w:rsidR="00221700" w:rsidRPr="00064CD6">
        <w:rPr>
          <w:rFonts w:ascii="PermianSerifTypeface" w:hAnsi="PermianSerifTypeface"/>
          <w:sz w:val="24"/>
          <w:szCs w:val="24"/>
          <w:lang w:val="ru-RU" w:eastAsia="ro-MD"/>
        </w:rPr>
        <w:t>небанковский поставщик платежных услуг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 xml:space="preserve"> незамедлительно созывает общее собрание акционеров или, в зависимости от обстоятельств, руководящий орган, уполномоченный законом для подтверждения другого </w:t>
      </w:r>
      <w:r w:rsidR="00221700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986E3F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221700" w:rsidRPr="00064CD6">
        <w:rPr>
          <w:rFonts w:ascii="PermianSerifTypeface" w:hAnsi="PermianSerifTypeface"/>
          <w:sz w:val="24"/>
          <w:szCs w:val="24"/>
          <w:lang w:val="ru-RU"/>
        </w:rPr>
        <w:t>а.</w:t>
      </w:r>
    </w:p>
    <w:p w14:paraId="46550121" w14:textId="77777777" w:rsidR="00986E3F" w:rsidRPr="00064CD6" w:rsidRDefault="00986E3F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</w:p>
    <w:p w14:paraId="5E3ECD56" w14:textId="77777777" w:rsidR="00472245" w:rsidRPr="00064CD6" w:rsidRDefault="00472245" w:rsidP="006559EF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 w:eastAsia="ro-MD"/>
        </w:rPr>
      </w:pPr>
    </w:p>
    <w:p w14:paraId="4951A223" w14:textId="116C0C1D" w:rsidR="006559EF" w:rsidRPr="00064CD6" w:rsidRDefault="00221700" w:rsidP="006559EF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Глава</w:t>
      </w:r>
      <w:r w:rsidR="006559EF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 xml:space="preserve"> </w:t>
      </w:r>
      <w:r w:rsidR="001A5009" w:rsidRPr="00064CD6">
        <w:rPr>
          <w:rFonts w:ascii="PermianSerifTypeface" w:hAnsi="PermianSerifTypeface"/>
          <w:b/>
          <w:bCs/>
          <w:sz w:val="24"/>
          <w:szCs w:val="24"/>
          <w:lang w:val="ro-RO" w:eastAsia="ro-MD"/>
        </w:rPr>
        <w:t>III</w:t>
      </w:r>
    </w:p>
    <w:p w14:paraId="29A622AF" w14:textId="77777777" w:rsidR="001941E9" w:rsidRPr="00064CD6" w:rsidRDefault="00CA4F4D" w:rsidP="006559EF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ОБЯЗАТЕЛЬСТВА СУБЪЕКТА АУДИТА, </w:t>
      </w:r>
    </w:p>
    <w:p w14:paraId="48910F83" w14:textId="4C99217A" w:rsidR="00CA4F4D" w:rsidRPr="00064CD6" w:rsidRDefault="00CA4F4D" w:rsidP="006559EF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/>
        </w:rPr>
        <w:t>УТВЕРЖДЕННЫЕ НАЦИОНАЛЬНЫМ БАНКОМ МОЛДОВЫ</w:t>
      </w:r>
    </w:p>
    <w:p w14:paraId="4B2E5203" w14:textId="4818EC47" w:rsidR="005C641B" w:rsidRPr="00064CD6" w:rsidRDefault="005C641B" w:rsidP="00C85C59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</w:p>
    <w:p w14:paraId="196EF23C" w14:textId="79419823" w:rsidR="003F713A" w:rsidRPr="00064CD6" w:rsidRDefault="001A5009" w:rsidP="009E7822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</w:t>
      </w:r>
      <w:r w:rsidR="00962FC9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</w:t>
      </w:r>
      <w:r w:rsidR="003F713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3F713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8C69F1" w:rsidRPr="00064CD6">
        <w:rPr>
          <w:rFonts w:ascii="PermianSerifTypeface" w:hAnsi="PermianSerifTypeface"/>
          <w:sz w:val="24"/>
          <w:szCs w:val="24"/>
          <w:lang w:val="ru-RU" w:eastAsia="ro-MD"/>
        </w:rPr>
        <w:t>Субъект аудита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 представляет в оригинале аудиторский отч</w:t>
      </w:r>
      <w:r w:rsidR="00396B7B">
        <w:rPr>
          <w:rFonts w:ascii="PermianSerifTypeface" w:hAnsi="PermianSerifTypeface"/>
          <w:sz w:val="24"/>
          <w:szCs w:val="24"/>
          <w:lang w:val="ru-RU"/>
        </w:rPr>
        <w:t>ё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т Национальному банку Молдовы и органу управления/члену органа управления </w:t>
      </w:r>
      <w:r w:rsidR="004E3A1A" w:rsidRPr="00064CD6">
        <w:rPr>
          <w:rFonts w:ascii="PermianSerifTypeface" w:hAnsi="PermianSerifTypeface"/>
          <w:sz w:val="24"/>
          <w:szCs w:val="24"/>
          <w:lang w:val="ru-RU"/>
        </w:rPr>
        <w:t xml:space="preserve">небанковского 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поставщика платежных услуг в течение 120 дней с момента </w:t>
      </w:r>
      <w:r w:rsidR="00D767E3" w:rsidRPr="00064CD6">
        <w:rPr>
          <w:rFonts w:ascii="PermianSerifTypeface" w:hAnsi="PermianSerifTypeface"/>
          <w:sz w:val="24"/>
          <w:szCs w:val="24"/>
          <w:lang w:val="ru-RU"/>
        </w:rPr>
        <w:t>завершения аудита отчетного периода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="00F4019E" w:rsidRPr="00064CD6">
        <w:rPr>
          <w:rFonts w:ascii="PermianSerifTypeface" w:hAnsi="PermianSerifTypeface"/>
          <w:sz w:val="24"/>
          <w:szCs w:val="24"/>
          <w:lang w:val="ru-RU"/>
        </w:rPr>
        <w:t xml:space="preserve">а также письмо в адрес </w:t>
      </w:r>
      <w:r w:rsidR="005D303D" w:rsidRPr="00064CD6">
        <w:rPr>
          <w:rFonts w:ascii="PermianSerifTypeface" w:hAnsi="PermianSerifTypeface"/>
          <w:sz w:val="24"/>
          <w:szCs w:val="24"/>
          <w:lang w:val="ru-RU"/>
        </w:rPr>
        <w:t>руководства небанковского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4019E" w:rsidRPr="00064CD6">
        <w:rPr>
          <w:rFonts w:ascii="PermianSerifTypeface" w:hAnsi="PermianSerifTypeface"/>
          <w:sz w:val="24"/>
          <w:szCs w:val="24"/>
          <w:lang w:val="ru-RU"/>
        </w:rPr>
        <w:t xml:space="preserve">поставщика 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>платежных услуг</w:t>
      </w:r>
      <w:r w:rsidR="00F4019E" w:rsidRPr="00064CD6">
        <w:rPr>
          <w:rFonts w:ascii="PermianSerifTypeface" w:hAnsi="PermianSerifTypeface"/>
          <w:sz w:val="24"/>
          <w:szCs w:val="24"/>
          <w:lang w:val="ru-RU"/>
        </w:rPr>
        <w:t xml:space="preserve">, подписанных от имени </w:t>
      </w:r>
      <w:r w:rsidR="00651F69" w:rsidRPr="00064CD6">
        <w:rPr>
          <w:rFonts w:ascii="PermianSerifTypeface" w:hAnsi="PermianSerifTypeface"/>
          <w:sz w:val="24"/>
          <w:szCs w:val="24"/>
          <w:lang w:val="ru-RU"/>
        </w:rPr>
        <w:t>субъекта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 аудит</w:t>
      </w:r>
      <w:r w:rsidR="00651F69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 руководителем </w:t>
      </w:r>
      <w:r w:rsidR="00651F69" w:rsidRPr="00064CD6">
        <w:rPr>
          <w:rFonts w:ascii="PermianSerifTypeface" w:hAnsi="PermianSerifTypeface"/>
          <w:sz w:val="24"/>
          <w:szCs w:val="24"/>
          <w:lang w:val="ru-RU"/>
        </w:rPr>
        <w:t xml:space="preserve">субъекта 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>аудит</w:t>
      </w:r>
      <w:r w:rsidR="00651F69" w:rsidRPr="00064CD6">
        <w:rPr>
          <w:rFonts w:ascii="PermianSerifTypeface" w:hAnsi="PermianSerifTypeface"/>
          <w:sz w:val="24"/>
          <w:szCs w:val="24"/>
          <w:lang w:val="ru-RU"/>
        </w:rPr>
        <w:t>а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 xml:space="preserve"> и аудитором/партнером</w:t>
      </w:r>
      <w:r w:rsidR="00CD001A" w:rsidRPr="00CD001A">
        <w:rPr>
          <w:rFonts w:ascii="PermianSerifTypeface" w:hAnsi="PermianSerifTypeface"/>
          <w:sz w:val="24"/>
          <w:szCs w:val="24"/>
          <w:lang w:val="ru-RU"/>
        </w:rPr>
        <w:t>,</w:t>
      </w:r>
      <w:r w:rsidR="00FD1BB1" w:rsidRPr="00FD1BB1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8C69F1" w:rsidRPr="00064CD6">
        <w:rPr>
          <w:rFonts w:ascii="PermianSerifTypeface" w:hAnsi="PermianSerifTypeface"/>
          <w:sz w:val="24"/>
          <w:szCs w:val="24"/>
          <w:lang w:val="ru-RU"/>
        </w:rPr>
        <w:t>ответстве</w:t>
      </w:r>
      <w:r w:rsidR="008C69F1" w:rsidRPr="00097E63">
        <w:rPr>
          <w:rFonts w:ascii="PermianSerifTypeface" w:hAnsi="PermianSerifTypeface"/>
          <w:sz w:val="24"/>
          <w:szCs w:val="24"/>
          <w:lang w:val="ru-RU"/>
        </w:rPr>
        <w:t>нным за аудиторскую миссию</w:t>
      </w:r>
      <w:r w:rsidR="00097E63" w:rsidRPr="00097E63">
        <w:rPr>
          <w:rFonts w:ascii="PermianSerifTypeface" w:hAnsi="PermianSerifTypeface"/>
          <w:sz w:val="24"/>
          <w:szCs w:val="24"/>
          <w:lang w:val="ru-RU"/>
        </w:rPr>
        <w:t>, с приложением финансовых отчетов</w:t>
      </w:r>
      <w:r w:rsidR="003F713A" w:rsidRPr="00097E63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2D8EEF40" w14:textId="074D7D70" w:rsidR="003F713A" w:rsidRPr="00064CD6" w:rsidRDefault="00962FC9" w:rsidP="009E7822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lastRenderedPageBreak/>
        <w:t>23.</w:t>
      </w:r>
      <w:r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5D303D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Небанковский поставщик платежных услуг </w:t>
      </w:r>
      <w:r w:rsidR="005D303D" w:rsidRPr="00064CD6">
        <w:rPr>
          <w:rFonts w:ascii="PermianSerifTypeface" w:hAnsi="PermianSerifTypeface"/>
          <w:sz w:val="24"/>
          <w:szCs w:val="24"/>
          <w:lang w:val="ru-RU"/>
        </w:rPr>
        <w:t xml:space="preserve">содействует полному представлению и в срок субъектом аудита документов и информации, затребованных </w:t>
      </w:r>
      <w:r w:rsidR="00201C06" w:rsidRPr="00064CD6">
        <w:rPr>
          <w:rFonts w:ascii="PermianSerifTypeface" w:hAnsi="PermianSerifTypeface"/>
          <w:sz w:val="24"/>
          <w:szCs w:val="24"/>
          <w:lang w:val="ru-RU"/>
        </w:rPr>
        <w:t xml:space="preserve">Национальным банком Молдовы </w:t>
      </w:r>
      <w:r w:rsidR="005D303D" w:rsidRPr="00064CD6">
        <w:rPr>
          <w:rFonts w:ascii="PermianSerifTypeface" w:hAnsi="PermianSerifTypeface"/>
          <w:sz w:val="24"/>
          <w:szCs w:val="24"/>
          <w:lang w:val="ru-RU"/>
        </w:rPr>
        <w:t>в соответствии с настоящим регламентом</w:t>
      </w:r>
      <w:r w:rsidR="003F713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. </w:t>
      </w:r>
    </w:p>
    <w:p w14:paraId="2A2344EB" w14:textId="37F0B46A" w:rsidR="003F713A" w:rsidRPr="00064CD6" w:rsidRDefault="001606C6" w:rsidP="00472245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</w:t>
      </w:r>
      <w:r w:rsidR="00962FC9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4</w:t>
      </w:r>
      <w:r w:rsidR="003F713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3F713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201C06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Небанковский поставщик платежных услуг </w:t>
      </w:r>
      <w:r w:rsidR="00201C06" w:rsidRPr="00064CD6">
        <w:rPr>
          <w:rFonts w:ascii="PermianSerifTypeface" w:hAnsi="PermianSerifTypeface"/>
          <w:sz w:val="24"/>
          <w:szCs w:val="24"/>
          <w:lang w:val="ru-RU"/>
        </w:rPr>
        <w:t>хранит в оригинале документы указанные в пункте 22</w:t>
      </w:r>
      <w:r w:rsidR="00134AB5" w:rsidRPr="00064CD6">
        <w:rPr>
          <w:rFonts w:ascii="PermianSerifTypeface" w:hAnsi="PermianSerifTypeface"/>
          <w:sz w:val="24"/>
          <w:szCs w:val="24"/>
          <w:lang w:val="ru-RU"/>
        </w:rPr>
        <w:t>,</w:t>
      </w:r>
      <w:r w:rsidR="00201C06" w:rsidRPr="00064CD6">
        <w:rPr>
          <w:rFonts w:ascii="PermianSerifTypeface" w:hAnsi="PermianSerifTypeface"/>
          <w:sz w:val="24"/>
          <w:szCs w:val="24"/>
          <w:lang w:val="ru-RU"/>
        </w:rPr>
        <w:t xml:space="preserve"> в своем местонахождении</w:t>
      </w:r>
      <w:r w:rsidR="003F713A" w:rsidRPr="00064CD6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28159536" w14:textId="0AC64A89" w:rsidR="003F713A" w:rsidRPr="00064CD6" w:rsidRDefault="001606C6" w:rsidP="009E7822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  <w:r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2</w:t>
      </w:r>
      <w:r w:rsidR="00962FC9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5</w:t>
      </w:r>
      <w:r w:rsidR="003F713A" w:rsidRPr="00064CD6">
        <w:rPr>
          <w:rFonts w:ascii="PermianSerifTypeface" w:hAnsi="PermianSerifTypeface"/>
          <w:b/>
          <w:bCs/>
          <w:sz w:val="24"/>
          <w:szCs w:val="24"/>
          <w:lang w:val="ru-RU" w:eastAsia="ro-MD"/>
        </w:rPr>
        <w:t>.</w:t>
      </w:r>
      <w:r w:rsidR="003F713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4E3A1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Субъект аудита </w:t>
      </w:r>
      <w:r w:rsidR="004E3A1A" w:rsidRPr="00064CD6">
        <w:rPr>
          <w:rFonts w:ascii="PermianSerifTypeface" w:hAnsi="PermianSerifTypeface"/>
          <w:sz w:val="24"/>
          <w:szCs w:val="24"/>
          <w:lang w:val="ru-RU"/>
        </w:rPr>
        <w:t>информирует Национальный банк Молдовы о любом факте или решении, связанном с аудированным</w:t>
      </w:r>
      <w:r w:rsidR="00AE48E2" w:rsidRPr="00064CD6">
        <w:rPr>
          <w:rFonts w:ascii="PermianSerifTypeface" w:hAnsi="PermianSerifTypeface"/>
          <w:sz w:val="24"/>
          <w:szCs w:val="24"/>
          <w:lang w:val="ru-RU"/>
        </w:rPr>
        <w:t xml:space="preserve"> небанковским поставщиком платежных услуг</w:t>
      </w:r>
      <w:r w:rsidR="004E3A1A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</w:t>
      </w:r>
      <w:r w:rsidR="00AE48E2" w:rsidRPr="00FD1BB1">
        <w:rPr>
          <w:rFonts w:ascii="PermianSerifTypeface" w:hAnsi="PermianSerifTypeface"/>
          <w:sz w:val="24"/>
          <w:szCs w:val="24"/>
          <w:lang w:val="ru-RU"/>
        </w:rPr>
        <w:t xml:space="preserve">в соответствии с частью (2) ст. 30 Закона № </w:t>
      </w:r>
      <w:r w:rsidR="00782197" w:rsidRPr="00FD1BB1">
        <w:rPr>
          <w:rFonts w:ascii="PermianSerifTypeface" w:hAnsi="PermianSerifTypeface"/>
          <w:sz w:val="24"/>
          <w:szCs w:val="24"/>
          <w:lang w:val="ru-RU" w:eastAsia="ro-MD"/>
        </w:rPr>
        <w:t>114/2012</w:t>
      </w:r>
      <w:r w:rsidR="003F713A" w:rsidRPr="00FD1BB1">
        <w:rPr>
          <w:rFonts w:ascii="PermianSerifTypeface" w:hAnsi="PermianSerifTypeface"/>
          <w:sz w:val="24"/>
          <w:szCs w:val="24"/>
          <w:lang w:val="ru-RU" w:eastAsia="ro-MD"/>
        </w:rPr>
        <w:t>.</w:t>
      </w:r>
    </w:p>
    <w:p w14:paraId="64AB439D" w14:textId="222ACC12" w:rsidR="008854F0" w:rsidRPr="00064CD6" w:rsidRDefault="008854F0" w:rsidP="000B5D88">
      <w:pPr>
        <w:spacing w:after="0" w:line="240" w:lineRule="auto"/>
        <w:ind w:firstLine="567"/>
        <w:jc w:val="both"/>
        <w:rPr>
          <w:rFonts w:ascii="PermianSerifTypeface" w:hAnsi="PermianSerifTypeface"/>
          <w:sz w:val="24"/>
          <w:szCs w:val="24"/>
          <w:lang w:val="ru-RU" w:eastAsia="ro-MD"/>
        </w:rPr>
      </w:pPr>
    </w:p>
    <w:sectPr w:rsidR="008854F0" w:rsidRPr="00064CD6" w:rsidSect="00590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EE06" w14:textId="77777777" w:rsidR="0094701F" w:rsidRDefault="0094701F" w:rsidP="002A6E16">
      <w:pPr>
        <w:spacing w:after="0" w:line="240" w:lineRule="auto"/>
      </w:pPr>
      <w:r>
        <w:separator/>
      </w:r>
    </w:p>
  </w:endnote>
  <w:endnote w:type="continuationSeparator" w:id="0">
    <w:p w14:paraId="3AF36126" w14:textId="77777777" w:rsidR="0094701F" w:rsidRDefault="0094701F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F483" w14:textId="77777777" w:rsidR="0094701F" w:rsidRDefault="0094701F" w:rsidP="002A6E16">
      <w:pPr>
        <w:spacing w:after="0" w:line="240" w:lineRule="auto"/>
      </w:pPr>
      <w:r>
        <w:separator/>
      </w:r>
    </w:p>
  </w:footnote>
  <w:footnote w:type="continuationSeparator" w:id="0">
    <w:p w14:paraId="04F64D46" w14:textId="77777777" w:rsidR="0094701F" w:rsidRDefault="0094701F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90925274">
    <w:abstractNumId w:val="17"/>
  </w:num>
  <w:num w:numId="2" w16cid:durableId="1769765021">
    <w:abstractNumId w:val="14"/>
  </w:num>
  <w:num w:numId="3" w16cid:durableId="136074631">
    <w:abstractNumId w:val="23"/>
  </w:num>
  <w:num w:numId="4" w16cid:durableId="522864939">
    <w:abstractNumId w:val="10"/>
  </w:num>
  <w:num w:numId="5" w16cid:durableId="358429775">
    <w:abstractNumId w:val="24"/>
  </w:num>
  <w:num w:numId="6" w16cid:durableId="745420435">
    <w:abstractNumId w:val="0"/>
  </w:num>
  <w:num w:numId="7" w16cid:durableId="1559900705">
    <w:abstractNumId w:val="11"/>
  </w:num>
  <w:num w:numId="8" w16cid:durableId="819735758">
    <w:abstractNumId w:val="13"/>
  </w:num>
  <w:num w:numId="9" w16cid:durableId="141311789">
    <w:abstractNumId w:val="2"/>
  </w:num>
  <w:num w:numId="10" w16cid:durableId="374432671">
    <w:abstractNumId w:val="16"/>
  </w:num>
  <w:num w:numId="11" w16cid:durableId="1775519355">
    <w:abstractNumId w:val="22"/>
  </w:num>
  <w:num w:numId="12" w16cid:durableId="283462017">
    <w:abstractNumId w:val="8"/>
  </w:num>
  <w:num w:numId="13" w16cid:durableId="1243639107">
    <w:abstractNumId w:val="5"/>
  </w:num>
  <w:num w:numId="14" w16cid:durableId="1547718940">
    <w:abstractNumId w:val="15"/>
  </w:num>
  <w:num w:numId="15" w16cid:durableId="852769223">
    <w:abstractNumId w:val="18"/>
  </w:num>
  <w:num w:numId="16" w16cid:durableId="583342738">
    <w:abstractNumId w:val="21"/>
  </w:num>
  <w:num w:numId="17" w16cid:durableId="576131026">
    <w:abstractNumId w:val="4"/>
  </w:num>
  <w:num w:numId="18" w16cid:durableId="36470430">
    <w:abstractNumId w:val="3"/>
  </w:num>
  <w:num w:numId="19" w16cid:durableId="1153641555">
    <w:abstractNumId w:val="9"/>
  </w:num>
  <w:num w:numId="20" w16cid:durableId="801727331">
    <w:abstractNumId w:val="7"/>
  </w:num>
  <w:num w:numId="21" w16cid:durableId="498933196">
    <w:abstractNumId w:val="25"/>
  </w:num>
  <w:num w:numId="22" w16cid:durableId="4587607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331564">
    <w:abstractNumId w:val="6"/>
  </w:num>
  <w:num w:numId="24" w16cid:durableId="1924603053">
    <w:abstractNumId w:val="19"/>
  </w:num>
  <w:num w:numId="25" w16cid:durableId="1373270115">
    <w:abstractNumId w:val="20"/>
  </w:num>
  <w:num w:numId="26" w16cid:durableId="1131560741">
    <w:abstractNumId w:val="12"/>
  </w:num>
  <w:num w:numId="27" w16cid:durableId="188378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58E7"/>
    <w:rsid w:val="00006417"/>
    <w:rsid w:val="00014DDD"/>
    <w:rsid w:val="00017A6D"/>
    <w:rsid w:val="0002115D"/>
    <w:rsid w:val="000252EA"/>
    <w:rsid w:val="0002548C"/>
    <w:rsid w:val="000270A8"/>
    <w:rsid w:val="0003333C"/>
    <w:rsid w:val="000336D7"/>
    <w:rsid w:val="0003530E"/>
    <w:rsid w:val="00036C4C"/>
    <w:rsid w:val="00037069"/>
    <w:rsid w:val="00041B29"/>
    <w:rsid w:val="00051841"/>
    <w:rsid w:val="00052AC5"/>
    <w:rsid w:val="00052F51"/>
    <w:rsid w:val="00053DA1"/>
    <w:rsid w:val="00056E14"/>
    <w:rsid w:val="00060666"/>
    <w:rsid w:val="00061B86"/>
    <w:rsid w:val="00064CD6"/>
    <w:rsid w:val="00067148"/>
    <w:rsid w:val="0006772F"/>
    <w:rsid w:val="00072F7F"/>
    <w:rsid w:val="000747FF"/>
    <w:rsid w:val="0007616D"/>
    <w:rsid w:val="0007759D"/>
    <w:rsid w:val="000776A6"/>
    <w:rsid w:val="00080428"/>
    <w:rsid w:val="0008136B"/>
    <w:rsid w:val="000837CB"/>
    <w:rsid w:val="00084BC7"/>
    <w:rsid w:val="000858B7"/>
    <w:rsid w:val="00086BAA"/>
    <w:rsid w:val="00087DD9"/>
    <w:rsid w:val="000920B2"/>
    <w:rsid w:val="00092F41"/>
    <w:rsid w:val="00093AA3"/>
    <w:rsid w:val="00094728"/>
    <w:rsid w:val="00095A42"/>
    <w:rsid w:val="00095FEF"/>
    <w:rsid w:val="0009695D"/>
    <w:rsid w:val="00097E63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00D"/>
    <w:rsid w:val="000C7D00"/>
    <w:rsid w:val="000D17FC"/>
    <w:rsid w:val="000D1CF6"/>
    <w:rsid w:val="000D1EF2"/>
    <w:rsid w:val="000D25EF"/>
    <w:rsid w:val="000D3F7D"/>
    <w:rsid w:val="000D43C4"/>
    <w:rsid w:val="000D5714"/>
    <w:rsid w:val="000E2DB2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10232"/>
    <w:rsid w:val="001149E0"/>
    <w:rsid w:val="00115B64"/>
    <w:rsid w:val="00120453"/>
    <w:rsid w:val="00121889"/>
    <w:rsid w:val="0012342A"/>
    <w:rsid w:val="00123BF2"/>
    <w:rsid w:val="001240D2"/>
    <w:rsid w:val="0013200F"/>
    <w:rsid w:val="001325BD"/>
    <w:rsid w:val="00134AB5"/>
    <w:rsid w:val="00147922"/>
    <w:rsid w:val="001479DD"/>
    <w:rsid w:val="00151DC8"/>
    <w:rsid w:val="00156247"/>
    <w:rsid w:val="001606C6"/>
    <w:rsid w:val="00160B08"/>
    <w:rsid w:val="001660D2"/>
    <w:rsid w:val="00166CE1"/>
    <w:rsid w:val="00167124"/>
    <w:rsid w:val="001679AA"/>
    <w:rsid w:val="0017321B"/>
    <w:rsid w:val="0017370C"/>
    <w:rsid w:val="00174595"/>
    <w:rsid w:val="00174881"/>
    <w:rsid w:val="00174998"/>
    <w:rsid w:val="00190913"/>
    <w:rsid w:val="001941E9"/>
    <w:rsid w:val="001968F2"/>
    <w:rsid w:val="001A289E"/>
    <w:rsid w:val="001A3893"/>
    <w:rsid w:val="001A5009"/>
    <w:rsid w:val="001B0F32"/>
    <w:rsid w:val="001B2F79"/>
    <w:rsid w:val="001B35FF"/>
    <w:rsid w:val="001B3ED2"/>
    <w:rsid w:val="001C58BC"/>
    <w:rsid w:val="001C68B8"/>
    <w:rsid w:val="001C6EC9"/>
    <w:rsid w:val="001D00B7"/>
    <w:rsid w:val="001D012E"/>
    <w:rsid w:val="001D1E3E"/>
    <w:rsid w:val="001D34EE"/>
    <w:rsid w:val="001D4D9C"/>
    <w:rsid w:val="001E335A"/>
    <w:rsid w:val="001E5A99"/>
    <w:rsid w:val="001E6360"/>
    <w:rsid w:val="001F03C7"/>
    <w:rsid w:val="001F24A6"/>
    <w:rsid w:val="001F38FD"/>
    <w:rsid w:val="001F3B65"/>
    <w:rsid w:val="001F4745"/>
    <w:rsid w:val="001F4BDF"/>
    <w:rsid w:val="001F7815"/>
    <w:rsid w:val="0020171D"/>
    <w:rsid w:val="00201916"/>
    <w:rsid w:val="00201C06"/>
    <w:rsid w:val="00202FEC"/>
    <w:rsid w:val="002043D4"/>
    <w:rsid w:val="00212B57"/>
    <w:rsid w:val="00221700"/>
    <w:rsid w:val="00222193"/>
    <w:rsid w:val="00222EB5"/>
    <w:rsid w:val="00225150"/>
    <w:rsid w:val="0023132C"/>
    <w:rsid w:val="00233906"/>
    <w:rsid w:val="00237D72"/>
    <w:rsid w:val="00237DAD"/>
    <w:rsid w:val="0024110F"/>
    <w:rsid w:val="002451C0"/>
    <w:rsid w:val="00245AE8"/>
    <w:rsid w:val="00246777"/>
    <w:rsid w:val="002468DD"/>
    <w:rsid w:val="00250C84"/>
    <w:rsid w:val="00252901"/>
    <w:rsid w:val="00252B73"/>
    <w:rsid w:val="00254BAA"/>
    <w:rsid w:val="002572D3"/>
    <w:rsid w:val="00260FD1"/>
    <w:rsid w:val="00261802"/>
    <w:rsid w:val="0026393A"/>
    <w:rsid w:val="002660B5"/>
    <w:rsid w:val="00272BE9"/>
    <w:rsid w:val="00276A7C"/>
    <w:rsid w:val="00276B24"/>
    <w:rsid w:val="00280958"/>
    <w:rsid w:val="00290529"/>
    <w:rsid w:val="00291832"/>
    <w:rsid w:val="002943AC"/>
    <w:rsid w:val="002949C8"/>
    <w:rsid w:val="00295D8B"/>
    <w:rsid w:val="002A319D"/>
    <w:rsid w:val="002A334A"/>
    <w:rsid w:val="002A5D29"/>
    <w:rsid w:val="002A5EB3"/>
    <w:rsid w:val="002A6204"/>
    <w:rsid w:val="002A6E16"/>
    <w:rsid w:val="002A76D4"/>
    <w:rsid w:val="002B0549"/>
    <w:rsid w:val="002B0DB1"/>
    <w:rsid w:val="002B3912"/>
    <w:rsid w:val="002B5E86"/>
    <w:rsid w:val="002B7D27"/>
    <w:rsid w:val="002C087E"/>
    <w:rsid w:val="002C1973"/>
    <w:rsid w:val="002C201A"/>
    <w:rsid w:val="002C4682"/>
    <w:rsid w:val="002C6669"/>
    <w:rsid w:val="002C700B"/>
    <w:rsid w:val="002D22BD"/>
    <w:rsid w:val="002D373D"/>
    <w:rsid w:val="002D4115"/>
    <w:rsid w:val="002D642F"/>
    <w:rsid w:val="002D7D55"/>
    <w:rsid w:val="002D7E28"/>
    <w:rsid w:val="002E112D"/>
    <w:rsid w:val="002E1C72"/>
    <w:rsid w:val="002E6C01"/>
    <w:rsid w:val="002E6F53"/>
    <w:rsid w:val="002F38F8"/>
    <w:rsid w:val="002F482C"/>
    <w:rsid w:val="002F58C1"/>
    <w:rsid w:val="002F599D"/>
    <w:rsid w:val="002F5FAA"/>
    <w:rsid w:val="002F724B"/>
    <w:rsid w:val="00300C12"/>
    <w:rsid w:val="00303657"/>
    <w:rsid w:val="00303C3B"/>
    <w:rsid w:val="003120B9"/>
    <w:rsid w:val="003124B9"/>
    <w:rsid w:val="003132E7"/>
    <w:rsid w:val="003218FD"/>
    <w:rsid w:val="003231A1"/>
    <w:rsid w:val="00323641"/>
    <w:rsid w:val="00325422"/>
    <w:rsid w:val="0032556D"/>
    <w:rsid w:val="003256FF"/>
    <w:rsid w:val="00327853"/>
    <w:rsid w:val="00333BD9"/>
    <w:rsid w:val="00340D0C"/>
    <w:rsid w:val="0034245D"/>
    <w:rsid w:val="003427D0"/>
    <w:rsid w:val="00342A72"/>
    <w:rsid w:val="00350A5F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3780"/>
    <w:rsid w:val="00384022"/>
    <w:rsid w:val="003850E7"/>
    <w:rsid w:val="003852B8"/>
    <w:rsid w:val="00385930"/>
    <w:rsid w:val="0038619D"/>
    <w:rsid w:val="00386B72"/>
    <w:rsid w:val="00390487"/>
    <w:rsid w:val="00390C8D"/>
    <w:rsid w:val="00396147"/>
    <w:rsid w:val="00396767"/>
    <w:rsid w:val="00396B7B"/>
    <w:rsid w:val="003A29FB"/>
    <w:rsid w:val="003A3DAC"/>
    <w:rsid w:val="003A4173"/>
    <w:rsid w:val="003A5158"/>
    <w:rsid w:val="003A520A"/>
    <w:rsid w:val="003A61F8"/>
    <w:rsid w:val="003A69C7"/>
    <w:rsid w:val="003B0843"/>
    <w:rsid w:val="003B3981"/>
    <w:rsid w:val="003B4AD4"/>
    <w:rsid w:val="003D2A33"/>
    <w:rsid w:val="003D5405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3521"/>
    <w:rsid w:val="003F44C2"/>
    <w:rsid w:val="003F6DA3"/>
    <w:rsid w:val="003F713A"/>
    <w:rsid w:val="003F7391"/>
    <w:rsid w:val="0040348B"/>
    <w:rsid w:val="0041048F"/>
    <w:rsid w:val="00413CFA"/>
    <w:rsid w:val="004179AE"/>
    <w:rsid w:val="0042143C"/>
    <w:rsid w:val="004226C9"/>
    <w:rsid w:val="0042610D"/>
    <w:rsid w:val="004315DA"/>
    <w:rsid w:val="004344DF"/>
    <w:rsid w:val="00437857"/>
    <w:rsid w:val="00437E09"/>
    <w:rsid w:val="00442355"/>
    <w:rsid w:val="00442B17"/>
    <w:rsid w:val="00443B7A"/>
    <w:rsid w:val="004449B4"/>
    <w:rsid w:val="00450A21"/>
    <w:rsid w:val="00450BB2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81EA5"/>
    <w:rsid w:val="0048238A"/>
    <w:rsid w:val="004826A1"/>
    <w:rsid w:val="004846D5"/>
    <w:rsid w:val="0048506D"/>
    <w:rsid w:val="00485268"/>
    <w:rsid w:val="00490D51"/>
    <w:rsid w:val="00492586"/>
    <w:rsid w:val="0049513C"/>
    <w:rsid w:val="00496540"/>
    <w:rsid w:val="004966E8"/>
    <w:rsid w:val="00496DC2"/>
    <w:rsid w:val="004A03CD"/>
    <w:rsid w:val="004A1505"/>
    <w:rsid w:val="004A1968"/>
    <w:rsid w:val="004A2687"/>
    <w:rsid w:val="004A2AA8"/>
    <w:rsid w:val="004A4716"/>
    <w:rsid w:val="004A7F25"/>
    <w:rsid w:val="004B4A03"/>
    <w:rsid w:val="004B713B"/>
    <w:rsid w:val="004B7E4E"/>
    <w:rsid w:val="004C3261"/>
    <w:rsid w:val="004C35C5"/>
    <w:rsid w:val="004C4783"/>
    <w:rsid w:val="004C6B8F"/>
    <w:rsid w:val="004C77A9"/>
    <w:rsid w:val="004D0635"/>
    <w:rsid w:val="004D08E5"/>
    <w:rsid w:val="004D6963"/>
    <w:rsid w:val="004D7F6D"/>
    <w:rsid w:val="004E0D38"/>
    <w:rsid w:val="004E3A1A"/>
    <w:rsid w:val="004E7C20"/>
    <w:rsid w:val="004F1824"/>
    <w:rsid w:val="00500375"/>
    <w:rsid w:val="00501FB7"/>
    <w:rsid w:val="0050204D"/>
    <w:rsid w:val="00502C69"/>
    <w:rsid w:val="00502C7E"/>
    <w:rsid w:val="005049C0"/>
    <w:rsid w:val="005074BF"/>
    <w:rsid w:val="00510CCF"/>
    <w:rsid w:val="00511666"/>
    <w:rsid w:val="0051183C"/>
    <w:rsid w:val="005124DC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35AA8"/>
    <w:rsid w:val="00540BF3"/>
    <w:rsid w:val="00540F21"/>
    <w:rsid w:val="00541999"/>
    <w:rsid w:val="00544463"/>
    <w:rsid w:val="00550C15"/>
    <w:rsid w:val="00551709"/>
    <w:rsid w:val="00551B80"/>
    <w:rsid w:val="005520C8"/>
    <w:rsid w:val="00552250"/>
    <w:rsid w:val="00552D00"/>
    <w:rsid w:val="00554403"/>
    <w:rsid w:val="00555006"/>
    <w:rsid w:val="00555B51"/>
    <w:rsid w:val="005573CA"/>
    <w:rsid w:val="00557DC9"/>
    <w:rsid w:val="005648EF"/>
    <w:rsid w:val="00571D7A"/>
    <w:rsid w:val="00575371"/>
    <w:rsid w:val="00576373"/>
    <w:rsid w:val="00582304"/>
    <w:rsid w:val="00583DD7"/>
    <w:rsid w:val="0058402F"/>
    <w:rsid w:val="00584D14"/>
    <w:rsid w:val="00584F51"/>
    <w:rsid w:val="00586929"/>
    <w:rsid w:val="00587151"/>
    <w:rsid w:val="005877B4"/>
    <w:rsid w:val="005904BE"/>
    <w:rsid w:val="00591F34"/>
    <w:rsid w:val="005951D9"/>
    <w:rsid w:val="005955FC"/>
    <w:rsid w:val="00597483"/>
    <w:rsid w:val="005A30F6"/>
    <w:rsid w:val="005A3478"/>
    <w:rsid w:val="005A404C"/>
    <w:rsid w:val="005A5A80"/>
    <w:rsid w:val="005A6B44"/>
    <w:rsid w:val="005A70EF"/>
    <w:rsid w:val="005A7120"/>
    <w:rsid w:val="005A7F2D"/>
    <w:rsid w:val="005B1036"/>
    <w:rsid w:val="005B27FB"/>
    <w:rsid w:val="005B4C2D"/>
    <w:rsid w:val="005B4DE4"/>
    <w:rsid w:val="005B4EE7"/>
    <w:rsid w:val="005B6579"/>
    <w:rsid w:val="005B6E44"/>
    <w:rsid w:val="005C1D7D"/>
    <w:rsid w:val="005C641B"/>
    <w:rsid w:val="005D02E9"/>
    <w:rsid w:val="005D2117"/>
    <w:rsid w:val="005D303D"/>
    <w:rsid w:val="005D494F"/>
    <w:rsid w:val="005D4CED"/>
    <w:rsid w:val="005E390C"/>
    <w:rsid w:val="005E513D"/>
    <w:rsid w:val="005F14CA"/>
    <w:rsid w:val="00600024"/>
    <w:rsid w:val="00603F5A"/>
    <w:rsid w:val="00604140"/>
    <w:rsid w:val="00604940"/>
    <w:rsid w:val="00605F3B"/>
    <w:rsid w:val="00606B33"/>
    <w:rsid w:val="006132D4"/>
    <w:rsid w:val="00615E91"/>
    <w:rsid w:val="006207CB"/>
    <w:rsid w:val="00620A16"/>
    <w:rsid w:val="00620AC1"/>
    <w:rsid w:val="00626AE2"/>
    <w:rsid w:val="006301DF"/>
    <w:rsid w:val="006317A4"/>
    <w:rsid w:val="006325D0"/>
    <w:rsid w:val="006332A8"/>
    <w:rsid w:val="00633635"/>
    <w:rsid w:val="00635170"/>
    <w:rsid w:val="00642138"/>
    <w:rsid w:val="00643F62"/>
    <w:rsid w:val="00646FCA"/>
    <w:rsid w:val="00651F69"/>
    <w:rsid w:val="0065253C"/>
    <w:rsid w:val="006532A8"/>
    <w:rsid w:val="00654F2D"/>
    <w:rsid w:val="006559EF"/>
    <w:rsid w:val="00657062"/>
    <w:rsid w:val="00660399"/>
    <w:rsid w:val="00660C7F"/>
    <w:rsid w:val="00661CFE"/>
    <w:rsid w:val="006629A6"/>
    <w:rsid w:val="006644A4"/>
    <w:rsid w:val="0067060A"/>
    <w:rsid w:val="00673E5B"/>
    <w:rsid w:val="00677C05"/>
    <w:rsid w:val="00682196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236"/>
    <w:rsid w:val="006A3C30"/>
    <w:rsid w:val="006A4BA3"/>
    <w:rsid w:val="006A7D65"/>
    <w:rsid w:val="006B1195"/>
    <w:rsid w:val="006B14B3"/>
    <w:rsid w:val="006B1D29"/>
    <w:rsid w:val="006B2D1E"/>
    <w:rsid w:val="006C1A13"/>
    <w:rsid w:val="006D23C0"/>
    <w:rsid w:val="006E1931"/>
    <w:rsid w:val="006E308B"/>
    <w:rsid w:val="006E5482"/>
    <w:rsid w:val="006E66E2"/>
    <w:rsid w:val="006E6D81"/>
    <w:rsid w:val="006F053E"/>
    <w:rsid w:val="006F16AF"/>
    <w:rsid w:val="006F2223"/>
    <w:rsid w:val="006F28B5"/>
    <w:rsid w:val="006F2F62"/>
    <w:rsid w:val="006F4F33"/>
    <w:rsid w:val="006F53F2"/>
    <w:rsid w:val="006F5750"/>
    <w:rsid w:val="00710701"/>
    <w:rsid w:val="00710780"/>
    <w:rsid w:val="00713511"/>
    <w:rsid w:val="00715FD6"/>
    <w:rsid w:val="00717304"/>
    <w:rsid w:val="007177F9"/>
    <w:rsid w:val="00717CBC"/>
    <w:rsid w:val="00723277"/>
    <w:rsid w:val="00725184"/>
    <w:rsid w:val="00725A82"/>
    <w:rsid w:val="00725EE2"/>
    <w:rsid w:val="00726DCA"/>
    <w:rsid w:val="00727B65"/>
    <w:rsid w:val="00731313"/>
    <w:rsid w:val="00733D3C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048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3461"/>
    <w:rsid w:val="00764147"/>
    <w:rsid w:val="00766E9A"/>
    <w:rsid w:val="0077023B"/>
    <w:rsid w:val="0077277A"/>
    <w:rsid w:val="00772830"/>
    <w:rsid w:val="007756C6"/>
    <w:rsid w:val="00780DE5"/>
    <w:rsid w:val="00781AE1"/>
    <w:rsid w:val="00782197"/>
    <w:rsid w:val="0078630D"/>
    <w:rsid w:val="007901DB"/>
    <w:rsid w:val="00793515"/>
    <w:rsid w:val="00794E94"/>
    <w:rsid w:val="007A38CC"/>
    <w:rsid w:val="007A60E6"/>
    <w:rsid w:val="007B085C"/>
    <w:rsid w:val="007B0AB2"/>
    <w:rsid w:val="007B22B9"/>
    <w:rsid w:val="007B2A82"/>
    <w:rsid w:val="007B6323"/>
    <w:rsid w:val="007C1706"/>
    <w:rsid w:val="007C5914"/>
    <w:rsid w:val="007D2AEB"/>
    <w:rsid w:val="007D30A0"/>
    <w:rsid w:val="007D6844"/>
    <w:rsid w:val="007E0840"/>
    <w:rsid w:val="007E274C"/>
    <w:rsid w:val="007E491E"/>
    <w:rsid w:val="007E6DC4"/>
    <w:rsid w:val="007E7CE1"/>
    <w:rsid w:val="007F494E"/>
    <w:rsid w:val="007F6892"/>
    <w:rsid w:val="007F6FC2"/>
    <w:rsid w:val="007F7092"/>
    <w:rsid w:val="007F7DC7"/>
    <w:rsid w:val="00800A07"/>
    <w:rsid w:val="00800F6B"/>
    <w:rsid w:val="0080599D"/>
    <w:rsid w:val="008059EA"/>
    <w:rsid w:val="00806433"/>
    <w:rsid w:val="00807F53"/>
    <w:rsid w:val="00811C98"/>
    <w:rsid w:val="00814549"/>
    <w:rsid w:val="008147BA"/>
    <w:rsid w:val="0081629C"/>
    <w:rsid w:val="008167CD"/>
    <w:rsid w:val="00825D05"/>
    <w:rsid w:val="00833663"/>
    <w:rsid w:val="008344F9"/>
    <w:rsid w:val="008348DA"/>
    <w:rsid w:val="00840FC9"/>
    <w:rsid w:val="00841709"/>
    <w:rsid w:val="00841B40"/>
    <w:rsid w:val="00847D29"/>
    <w:rsid w:val="00847DBA"/>
    <w:rsid w:val="00851F47"/>
    <w:rsid w:val="00857B01"/>
    <w:rsid w:val="00860356"/>
    <w:rsid w:val="008622B9"/>
    <w:rsid w:val="0086317B"/>
    <w:rsid w:val="00871AE7"/>
    <w:rsid w:val="008760E8"/>
    <w:rsid w:val="00876669"/>
    <w:rsid w:val="00876895"/>
    <w:rsid w:val="00880018"/>
    <w:rsid w:val="00880BBD"/>
    <w:rsid w:val="00881F1F"/>
    <w:rsid w:val="00882A34"/>
    <w:rsid w:val="00885164"/>
    <w:rsid w:val="008854F0"/>
    <w:rsid w:val="0088573A"/>
    <w:rsid w:val="008911CE"/>
    <w:rsid w:val="00892481"/>
    <w:rsid w:val="00895E1A"/>
    <w:rsid w:val="00896995"/>
    <w:rsid w:val="008A1614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58EB"/>
    <w:rsid w:val="008C6474"/>
    <w:rsid w:val="008C69F1"/>
    <w:rsid w:val="008C6D03"/>
    <w:rsid w:val="008D0B10"/>
    <w:rsid w:val="008D13D1"/>
    <w:rsid w:val="008D13FD"/>
    <w:rsid w:val="008D1CBB"/>
    <w:rsid w:val="008D70B3"/>
    <w:rsid w:val="008D7304"/>
    <w:rsid w:val="008E02CE"/>
    <w:rsid w:val="008E0E98"/>
    <w:rsid w:val="008E664B"/>
    <w:rsid w:val="008E673F"/>
    <w:rsid w:val="008E6A42"/>
    <w:rsid w:val="008F00CC"/>
    <w:rsid w:val="008F0C8D"/>
    <w:rsid w:val="008F14A1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7E15"/>
    <w:rsid w:val="009128EB"/>
    <w:rsid w:val="00912ECB"/>
    <w:rsid w:val="009138D9"/>
    <w:rsid w:val="009157BF"/>
    <w:rsid w:val="00916187"/>
    <w:rsid w:val="0091697B"/>
    <w:rsid w:val="0092089B"/>
    <w:rsid w:val="00922CE7"/>
    <w:rsid w:val="00925E45"/>
    <w:rsid w:val="00930A1C"/>
    <w:rsid w:val="00935C0A"/>
    <w:rsid w:val="00942B6E"/>
    <w:rsid w:val="009433B6"/>
    <w:rsid w:val="00943933"/>
    <w:rsid w:val="00944E24"/>
    <w:rsid w:val="00945F3D"/>
    <w:rsid w:val="009460E9"/>
    <w:rsid w:val="00946B81"/>
    <w:rsid w:val="00946CD6"/>
    <w:rsid w:val="00946FDC"/>
    <w:rsid w:val="0094701F"/>
    <w:rsid w:val="00947A67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8046E"/>
    <w:rsid w:val="009806D7"/>
    <w:rsid w:val="009826E3"/>
    <w:rsid w:val="00986E3F"/>
    <w:rsid w:val="00987DE7"/>
    <w:rsid w:val="00993A72"/>
    <w:rsid w:val="00994D84"/>
    <w:rsid w:val="009960DB"/>
    <w:rsid w:val="00996D1C"/>
    <w:rsid w:val="00997904"/>
    <w:rsid w:val="009A02D0"/>
    <w:rsid w:val="009A1A66"/>
    <w:rsid w:val="009A34A4"/>
    <w:rsid w:val="009C3FC7"/>
    <w:rsid w:val="009C7AD5"/>
    <w:rsid w:val="009C7F67"/>
    <w:rsid w:val="009D0145"/>
    <w:rsid w:val="009D0DCD"/>
    <w:rsid w:val="009D2A73"/>
    <w:rsid w:val="009D3537"/>
    <w:rsid w:val="009D4E25"/>
    <w:rsid w:val="009D4F00"/>
    <w:rsid w:val="009D7188"/>
    <w:rsid w:val="009E231D"/>
    <w:rsid w:val="009E478B"/>
    <w:rsid w:val="009E6E0E"/>
    <w:rsid w:val="009E7822"/>
    <w:rsid w:val="009E7F28"/>
    <w:rsid w:val="009F04A5"/>
    <w:rsid w:val="009F0FA9"/>
    <w:rsid w:val="009F1ED2"/>
    <w:rsid w:val="009F2E7F"/>
    <w:rsid w:val="009F3AE6"/>
    <w:rsid w:val="009F4085"/>
    <w:rsid w:val="009F4EE9"/>
    <w:rsid w:val="009F61EE"/>
    <w:rsid w:val="00A00BCA"/>
    <w:rsid w:val="00A01650"/>
    <w:rsid w:val="00A028FC"/>
    <w:rsid w:val="00A04685"/>
    <w:rsid w:val="00A06933"/>
    <w:rsid w:val="00A06DCC"/>
    <w:rsid w:val="00A1231F"/>
    <w:rsid w:val="00A12339"/>
    <w:rsid w:val="00A1266F"/>
    <w:rsid w:val="00A13488"/>
    <w:rsid w:val="00A15BBB"/>
    <w:rsid w:val="00A164AC"/>
    <w:rsid w:val="00A20863"/>
    <w:rsid w:val="00A257AB"/>
    <w:rsid w:val="00A26617"/>
    <w:rsid w:val="00A27B60"/>
    <w:rsid w:val="00A3062E"/>
    <w:rsid w:val="00A3091E"/>
    <w:rsid w:val="00A32AF7"/>
    <w:rsid w:val="00A330B4"/>
    <w:rsid w:val="00A34723"/>
    <w:rsid w:val="00A35917"/>
    <w:rsid w:val="00A359F3"/>
    <w:rsid w:val="00A365D2"/>
    <w:rsid w:val="00A36ED4"/>
    <w:rsid w:val="00A37697"/>
    <w:rsid w:val="00A413FE"/>
    <w:rsid w:val="00A45685"/>
    <w:rsid w:val="00A45E65"/>
    <w:rsid w:val="00A475B3"/>
    <w:rsid w:val="00A478DA"/>
    <w:rsid w:val="00A47D51"/>
    <w:rsid w:val="00A50703"/>
    <w:rsid w:val="00A63703"/>
    <w:rsid w:val="00A73D91"/>
    <w:rsid w:val="00A759F2"/>
    <w:rsid w:val="00A764E0"/>
    <w:rsid w:val="00A81CDA"/>
    <w:rsid w:val="00A82B8A"/>
    <w:rsid w:val="00A839A3"/>
    <w:rsid w:val="00A84F20"/>
    <w:rsid w:val="00A86698"/>
    <w:rsid w:val="00A918B9"/>
    <w:rsid w:val="00A9472E"/>
    <w:rsid w:val="00A95364"/>
    <w:rsid w:val="00A96BCD"/>
    <w:rsid w:val="00AA22A9"/>
    <w:rsid w:val="00AA2A65"/>
    <w:rsid w:val="00AA4923"/>
    <w:rsid w:val="00AA4C00"/>
    <w:rsid w:val="00AB2ACD"/>
    <w:rsid w:val="00AB2D4C"/>
    <w:rsid w:val="00AB54D8"/>
    <w:rsid w:val="00AB6F36"/>
    <w:rsid w:val="00AB7542"/>
    <w:rsid w:val="00AB7AC7"/>
    <w:rsid w:val="00AC0961"/>
    <w:rsid w:val="00AC1CA5"/>
    <w:rsid w:val="00AC30DE"/>
    <w:rsid w:val="00AC35DF"/>
    <w:rsid w:val="00AC7026"/>
    <w:rsid w:val="00AC7EF8"/>
    <w:rsid w:val="00AD56E8"/>
    <w:rsid w:val="00AD5C7B"/>
    <w:rsid w:val="00AD6165"/>
    <w:rsid w:val="00AD68E1"/>
    <w:rsid w:val="00AE00B4"/>
    <w:rsid w:val="00AE13BA"/>
    <w:rsid w:val="00AE3446"/>
    <w:rsid w:val="00AE418D"/>
    <w:rsid w:val="00AE48E2"/>
    <w:rsid w:val="00AE7987"/>
    <w:rsid w:val="00AE7B76"/>
    <w:rsid w:val="00AF0DA9"/>
    <w:rsid w:val="00B04FA4"/>
    <w:rsid w:val="00B13D56"/>
    <w:rsid w:val="00B15165"/>
    <w:rsid w:val="00B17C05"/>
    <w:rsid w:val="00B20694"/>
    <w:rsid w:val="00B23683"/>
    <w:rsid w:val="00B24995"/>
    <w:rsid w:val="00B25E09"/>
    <w:rsid w:val="00B26ACE"/>
    <w:rsid w:val="00B276D1"/>
    <w:rsid w:val="00B3058E"/>
    <w:rsid w:val="00B31303"/>
    <w:rsid w:val="00B36601"/>
    <w:rsid w:val="00B40482"/>
    <w:rsid w:val="00B42B9B"/>
    <w:rsid w:val="00B42D84"/>
    <w:rsid w:val="00B434EC"/>
    <w:rsid w:val="00B51594"/>
    <w:rsid w:val="00B51F93"/>
    <w:rsid w:val="00B547DA"/>
    <w:rsid w:val="00B576D5"/>
    <w:rsid w:val="00B6575B"/>
    <w:rsid w:val="00B65F06"/>
    <w:rsid w:val="00B67152"/>
    <w:rsid w:val="00B7549C"/>
    <w:rsid w:val="00B75B7C"/>
    <w:rsid w:val="00B83F2A"/>
    <w:rsid w:val="00B85545"/>
    <w:rsid w:val="00B86AD8"/>
    <w:rsid w:val="00B910DB"/>
    <w:rsid w:val="00B92713"/>
    <w:rsid w:val="00B9447B"/>
    <w:rsid w:val="00B95D84"/>
    <w:rsid w:val="00B96348"/>
    <w:rsid w:val="00BA0C99"/>
    <w:rsid w:val="00BA1479"/>
    <w:rsid w:val="00BA20D4"/>
    <w:rsid w:val="00BA5167"/>
    <w:rsid w:val="00BA6447"/>
    <w:rsid w:val="00BB4FEA"/>
    <w:rsid w:val="00BB65EF"/>
    <w:rsid w:val="00BB77EB"/>
    <w:rsid w:val="00BC205D"/>
    <w:rsid w:val="00BC215E"/>
    <w:rsid w:val="00BC3AA8"/>
    <w:rsid w:val="00BD11D1"/>
    <w:rsid w:val="00BD1DD9"/>
    <w:rsid w:val="00BD4045"/>
    <w:rsid w:val="00BD46DD"/>
    <w:rsid w:val="00BD4BB2"/>
    <w:rsid w:val="00BE0A11"/>
    <w:rsid w:val="00BE219B"/>
    <w:rsid w:val="00BE2C35"/>
    <w:rsid w:val="00BE5707"/>
    <w:rsid w:val="00BE5825"/>
    <w:rsid w:val="00BE7A65"/>
    <w:rsid w:val="00BF0FD1"/>
    <w:rsid w:val="00BF34DA"/>
    <w:rsid w:val="00BF52B9"/>
    <w:rsid w:val="00C00349"/>
    <w:rsid w:val="00C01734"/>
    <w:rsid w:val="00C03165"/>
    <w:rsid w:val="00C032C1"/>
    <w:rsid w:val="00C05C10"/>
    <w:rsid w:val="00C06E4E"/>
    <w:rsid w:val="00C10614"/>
    <w:rsid w:val="00C12562"/>
    <w:rsid w:val="00C12B60"/>
    <w:rsid w:val="00C14A0E"/>
    <w:rsid w:val="00C15415"/>
    <w:rsid w:val="00C16EA5"/>
    <w:rsid w:val="00C1789F"/>
    <w:rsid w:val="00C20C3D"/>
    <w:rsid w:val="00C20E3E"/>
    <w:rsid w:val="00C230EC"/>
    <w:rsid w:val="00C243CA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7A9E"/>
    <w:rsid w:val="00C5425B"/>
    <w:rsid w:val="00C54722"/>
    <w:rsid w:val="00C54DED"/>
    <w:rsid w:val="00C56342"/>
    <w:rsid w:val="00C56E70"/>
    <w:rsid w:val="00C62C6A"/>
    <w:rsid w:val="00C63C32"/>
    <w:rsid w:val="00C66329"/>
    <w:rsid w:val="00C74DC6"/>
    <w:rsid w:val="00C75034"/>
    <w:rsid w:val="00C825F4"/>
    <w:rsid w:val="00C8265D"/>
    <w:rsid w:val="00C85C59"/>
    <w:rsid w:val="00C863D8"/>
    <w:rsid w:val="00C91C57"/>
    <w:rsid w:val="00C962B5"/>
    <w:rsid w:val="00CA1015"/>
    <w:rsid w:val="00CA2454"/>
    <w:rsid w:val="00CA316B"/>
    <w:rsid w:val="00CA4C48"/>
    <w:rsid w:val="00CA4F4D"/>
    <w:rsid w:val="00CB045F"/>
    <w:rsid w:val="00CB1528"/>
    <w:rsid w:val="00CB3DED"/>
    <w:rsid w:val="00CB5807"/>
    <w:rsid w:val="00CC2395"/>
    <w:rsid w:val="00CC38CB"/>
    <w:rsid w:val="00CC5A59"/>
    <w:rsid w:val="00CC79B2"/>
    <w:rsid w:val="00CD001A"/>
    <w:rsid w:val="00CD05C6"/>
    <w:rsid w:val="00CD1ACC"/>
    <w:rsid w:val="00CD1D6C"/>
    <w:rsid w:val="00CD6832"/>
    <w:rsid w:val="00CE0241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751B"/>
    <w:rsid w:val="00D15F13"/>
    <w:rsid w:val="00D16A22"/>
    <w:rsid w:val="00D205D2"/>
    <w:rsid w:val="00D22099"/>
    <w:rsid w:val="00D24B12"/>
    <w:rsid w:val="00D268F6"/>
    <w:rsid w:val="00D26D0B"/>
    <w:rsid w:val="00D30391"/>
    <w:rsid w:val="00D31611"/>
    <w:rsid w:val="00D31D2D"/>
    <w:rsid w:val="00D31E89"/>
    <w:rsid w:val="00D3256D"/>
    <w:rsid w:val="00D33D61"/>
    <w:rsid w:val="00D35A51"/>
    <w:rsid w:val="00D36BB1"/>
    <w:rsid w:val="00D40348"/>
    <w:rsid w:val="00D409C2"/>
    <w:rsid w:val="00D43F15"/>
    <w:rsid w:val="00D47983"/>
    <w:rsid w:val="00D47BD4"/>
    <w:rsid w:val="00D504E3"/>
    <w:rsid w:val="00D519F7"/>
    <w:rsid w:val="00D51EDE"/>
    <w:rsid w:val="00D528F4"/>
    <w:rsid w:val="00D5637E"/>
    <w:rsid w:val="00D6154D"/>
    <w:rsid w:val="00D62B68"/>
    <w:rsid w:val="00D656EB"/>
    <w:rsid w:val="00D65FBA"/>
    <w:rsid w:val="00D673CF"/>
    <w:rsid w:val="00D67C52"/>
    <w:rsid w:val="00D7326C"/>
    <w:rsid w:val="00D753F1"/>
    <w:rsid w:val="00D767E3"/>
    <w:rsid w:val="00D771D4"/>
    <w:rsid w:val="00D775AB"/>
    <w:rsid w:val="00D810E5"/>
    <w:rsid w:val="00D81159"/>
    <w:rsid w:val="00D820A9"/>
    <w:rsid w:val="00D82640"/>
    <w:rsid w:val="00D84C55"/>
    <w:rsid w:val="00D850B7"/>
    <w:rsid w:val="00D8540C"/>
    <w:rsid w:val="00D85B68"/>
    <w:rsid w:val="00D9181B"/>
    <w:rsid w:val="00D94037"/>
    <w:rsid w:val="00D95708"/>
    <w:rsid w:val="00DA1E97"/>
    <w:rsid w:val="00DA3FB5"/>
    <w:rsid w:val="00DA5E25"/>
    <w:rsid w:val="00DB10F0"/>
    <w:rsid w:val="00DB4BCA"/>
    <w:rsid w:val="00DC0458"/>
    <w:rsid w:val="00DC07B6"/>
    <w:rsid w:val="00DC14B5"/>
    <w:rsid w:val="00DC2A4B"/>
    <w:rsid w:val="00DC6456"/>
    <w:rsid w:val="00DD11F4"/>
    <w:rsid w:val="00DD31A1"/>
    <w:rsid w:val="00DD7B17"/>
    <w:rsid w:val="00DE0838"/>
    <w:rsid w:val="00DE1BCF"/>
    <w:rsid w:val="00DE5A7D"/>
    <w:rsid w:val="00DE75A3"/>
    <w:rsid w:val="00DE7A77"/>
    <w:rsid w:val="00DF02BA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1644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31AC"/>
    <w:rsid w:val="00E3363C"/>
    <w:rsid w:val="00E34797"/>
    <w:rsid w:val="00E36F12"/>
    <w:rsid w:val="00E46097"/>
    <w:rsid w:val="00E46466"/>
    <w:rsid w:val="00E46E41"/>
    <w:rsid w:val="00E475C5"/>
    <w:rsid w:val="00E51901"/>
    <w:rsid w:val="00E52A97"/>
    <w:rsid w:val="00E52D7A"/>
    <w:rsid w:val="00E55968"/>
    <w:rsid w:val="00E56030"/>
    <w:rsid w:val="00E619ED"/>
    <w:rsid w:val="00E639E6"/>
    <w:rsid w:val="00E649B9"/>
    <w:rsid w:val="00E65EF3"/>
    <w:rsid w:val="00E67F45"/>
    <w:rsid w:val="00E727FF"/>
    <w:rsid w:val="00E72A57"/>
    <w:rsid w:val="00E73CFC"/>
    <w:rsid w:val="00E8062D"/>
    <w:rsid w:val="00E811A7"/>
    <w:rsid w:val="00E82017"/>
    <w:rsid w:val="00E8224E"/>
    <w:rsid w:val="00E914D0"/>
    <w:rsid w:val="00E94AF0"/>
    <w:rsid w:val="00EA2579"/>
    <w:rsid w:val="00EA3780"/>
    <w:rsid w:val="00EA561C"/>
    <w:rsid w:val="00EA7FE9"/>
    <w:rsid w:val="00EB0947"/>
    <w:rsid w:val="00EB3310"/>
    <w:rsid w:val="00EB37AA"/>
    <w:rsid w:val="00EB539C"/>
    <w:rsid w:val="00EB5CEF"/>
    <w:rsid w:val="00EB72EA"/>
    <w:rsid w:val="00EC03C1"/>
    <w:rsid w:val="00EC1231"/>
    <w:rsid w:val="00EC442E"/>
    <w:rsid w:val="00EC6A5F"/>
    <w:rsid w:val="00ED0249"/>
    <w:rsid w:val="00ED0C6E"/>
    <w:rsid w:val="00ED0F39"/>
    <w:rsid w:val="00ED2044"/>
    <w:rsid w:val="00ED3E5E"/>
    <w:rsid w:val="00ED499D"/>
    <w:rsid w:val="00EE299C"/>
    <w:rsid w:val="00EE2F9E"/>
    <w:rsid w:val="00EE32A0"/>
    <w:rsid w:val="00EE50CF"/>
    <w:rsid w:val="00EE760D"/>
    <w:rsid w:val="00EF1106"/>
    <w:rsid w:val="00EF2697"/>
    <w:rsid w:val="00EF4267"/>
    <w:rsid w:val="00EF4E4E"/>
    <w:rsid w:val="00EF5516"/>
    <w:rsid w:val="00F0061B"/>
    <w:rsid w:val="00F05751"/>
    <w:rsid w:val="00F05A29"/>
    <w:rsid w:val="00F06F89"/>
    <w:rsid w:val="00F07977"/>
    <w:rsid w:val="00F1221C"/>
    <w:rsid w:val="00F1226A"/>
    <w:rsid w:val="00F14385"/>
    <w:rsid w:val="00F15B6D"/>
    <w:rsid w:val="00F16701"/>
    <w:rsid w:val="00F20DB9"/>
    <w:rsid w:val="00F23654"/>
    <w:rsid w:val="00F246C1"/>
    <w:rsid w:val="00F3170E"/>
    <w:rsid w:val="00F32E69"/>
    <w:rsid w:val="00F3596F"/>
    <w:rsid w:val="00F363A0"/>
    <w:rsid w:val="00F3776D"/>
    <w:rsid w:val="00F37B9B"/>
    <w:rsid w:val="00F4019E"/>
    <w:rsid w:val="00F46764"/>
    <w:rsid w:val="00F47D23"/>
    <w:rsid w:val="00F50CF9"/>
    <w:rsid w:val="00F5184D"/>
    <w:rsid w:val="00F51F43"/>
    <w:rsid w:val="00F52934"/>
    <w:rsid w:val="00F544D6"/>
    <w:rsid w:val="00F57230"/>
    <w:rsid w:val="00F61CEF"/>
    <w:rsid w:val="00F62993"/>
    <w:rsid w:val="00F64C91"/>
    <w:rsid w:val="00F654BD"/>
    <w:rsid w:val="00F7039D"/>
    <w:rsid w:val="00F709FA"/>
    <w:rsid w:val="00F70CB7"/>
    <w:rsid w:val="00F72D08"/>
    <w:rsid w:val="00F73C65"/>
    <w:rsid w:val="00F74930"/>
    <w:rsid w:val="00F764F8"/>
    <w:rsid w:val="00F81255"/>
    <w:rsid w:val="00F84BB4"/>
    <w:rsid w:val="00F854F1"/>
    <w:rsid w:val="00F85989"/>
    <w:rsid w:val="00F85F12"/>
    <w:rsid w:val="00F876FB"/>
    <w:rsid w:val="00F9259B"/>
    <w:rsid w:val="00FA024B"/>
    <w:rsid w:val="00FA3216"/>
    <w:rsid w:val="00FA5310"/>
    <w:rsid w:val="00FA5810"/>
    <w:rsid w:val="00FA71DC"/>
    <w:rsid w:val="00FB1298"/>
    <w:rsid w:val="00FB4ACB"/>
    <w:rsid w:val="00FB71CA"/>
    <w:rsid w:val="00FC0AA0"/>
    <w:rsid w:val="00FC0AA6"/>
    <w:rsid w:val="00FC1D17"/>
    <w:rsid w:val="00FC2698"/>
    <w:rsid w:val="00FC281B"/>
    <w:rsid w:val="00FC5B75"/>
    <w:rsid w:val="00FC6983"/>
    <w:rsid w:val="00FD1BB1"/>
    <w:rsid w:val="00FD324D"/>
    <w:rsid w:val="00FD439F"/>
    <w:rsid w:val="00FD5CDB"/>
    <w:rsid w:val="00FE0969"/>
    <w:rsid w:val="00FE4130"/>
    <w:rsid w:val="00FE423C"/>
    <w:rsid w:val="00FE4B56"/>
    <w:rsid w:val="00FE539F"/>
    <w:rsid w:val="00FE6A83"/>
    <w:rsid w:val="00FF0C6C"/>
    <w:rsid w:val="00FF0D45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customStyle="1" w:styleId="rtecenter">
    <w:name w:val="rtecenter"/>
    <w:basedOn w:val="Normal"/>
    <w:rsid w:val="0034245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245D"/>
    <w:rPr>
      <w:i/>
      <w:iCs/>
    </w:rPr>
  </w:style>
  <w:style w:type="character" w:styleId="Strong">
    <w:name w:val="Strong"/>
    <w:basedOn w:val="DefaultParagraphFont"/>
    <w:uiPriority w:val="22"/>
    <w:qFormat/>
    <w:rsid w:val="00F246C1"/>
    <w:rPr>
      <w:b/>
      <w:bCs/>
    </w:rPr>
  </w:style>
  <w:style w:type="paragraph" w:customStyle="1" w:styleId="right">
    <w:name w:val="right"/>
    <w:basedOn w:val="Normal"/>
    <w:rsid w:val="00F246C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1838</Words>
  <Characters>12982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2024-11-14T07:01:00Z</dcterms:created>
  <cp:lastPrinted>2024-10-23T12:55:00Z</cp:lastPrinted>
  <dcterms:modified xsi:type="dcterms:W3CDTF">2025-10-28T08:31:00Z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43643109-7481-434e-8fa0-796b1a5f6ad7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2024-11-11T11:46:44Z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ec46af0a-aa6c-40db-8754-e0ed09b5719d</vt:lpwstr>
  </property>
  <property fmtid="{D5CDD505-2E9C-101B-9397-08002B2CF9AE}" pid="10" name="MSIP_Label_38962dcf-d39f-4edc-a396-338a56ba9170_ContentBits">
    <vt:lpwstr>0</vt:lpwstr>
  </property>
</Properties>
</file>