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0F74" w14:textId="4F01B581" w:rsidR="008E44E5" w:rsidRPr="008E44E5" w:rsidRDefault="008E44E5" w:rsidP="008E44E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UE</w:t>
      </w:r>
    </w:p>
    <w:p w14:paraId="5A0EC3E2" w14:textId="2771378C" w:rsidR="008E44E5" w:rsidRPr="008E44E5" w:rsidRDefault="008E44E5" w:rsidP="008E44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26372714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2CE2DE9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</w:p>
    <w:p w14:paraId="16813247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внесении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некоторые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нормативные</w:t>
      </w:r>
      <w:proofErr w:type="spellEnd"/>
    </w:p>
    <w:p w14:paraId="757279D9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акты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43B9728B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3C6C09F3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№ 220  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 25.09.2025</w:t>
      </w:r>
    </w:p>
    <w:p w14:paraId="17C685BF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(в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01.10.2026)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605BB6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4F2BE5A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Мониторул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Офичиал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Р.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515-518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895 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02.10.2025</w:t>
      </w:r>
    </w:p>
    <w:p w14:paraId="3F7D401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30F7696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* * *</w:t>
      </w:r>
    </w:p>
    <w:p w14:paraId="43452AF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п.с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(1) ст.27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п.а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ст.44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548/1995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повторное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опубликование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: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2015, № 297-300, ст.544),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(4) ст.60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(1) ст.73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202/2017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2017, № 434-439, ст.727),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4F8F0539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3CC8495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Утвердить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AB1EB6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утратившим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102/2020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2020, № 118-123, ст.464),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зарегистрированное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1563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2020.</w:t>
      </w:r>
    </w:p>
    <w:p w14:paraId="46A026E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132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109/2018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2018, №183-194, ст.899)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102/2020,"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9025CD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крупных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109/2019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2019, № 139-147, ст.704),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AB1736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4.1.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8:</w:t>
      </w:r>
    </w:p>
    <w:p w14:paraId="44A556E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4.1.1.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67–76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102/2020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102/2020)"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";</w:t>
      </w:r>
    </w:p>
    <w:p w14:paraId="16042BB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4.1.2.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67-76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102/2020"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".</w:t>
      </w:r>
    </w:p>
    <w:p w14:paraId="390D199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4.2.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102/2020"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".</w:t>
      </w:r>
    </w:p>
    <w:p w14:paraId="469B8C1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329/2024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2024, № 544-547 ст.1018),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VI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ПИК НБМ № 102/2020."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.".</w:t>
      </w:r>
    </w:p>
    <w:p w14:paraId="585A778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стандартизованному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111/2018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 xml:space="preserve">2018, № 183-194 ст.901),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102/2020,"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1A8EEE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опубликованию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158/2020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2020, № 188-192, ст.667),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8E1105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7.1.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102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16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апреля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2020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102/2020)"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D3CDB4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7.2.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12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форматов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опубликования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102/2020."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.".</w:t>
      </w:r>
    </w:p>
    <w:p w14:paraId="42B62949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публикуется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вступает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1.10.2026.</w:t>
      </w:r>
    </w:p>
    <w:p w14:paraId="7B70884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2"/>
        <w:gridCol w:w="2164"/>
      </w:tblGrid>
      <w:tr w:rsidR="008E44E5" w:rsidRPr="008E44E5" w14:paraId="08953D14" w14:textId="77777777" w:rsidTr="008E44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15AA936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A78B2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8E44E5" w:rsidRPr="008E44E5" w14:paraId="6124D8BD" w14:textId="77777777" w:rsidTr="008E44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054D7D8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9606C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Анка-Дана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ДРАГУ</w:t>
            </w:r>
          </w:p>
        </w:tc>
      </w:tr>
      <w:tr w:rsidR="008E44E5" w:rsidRPr="008E44E5" w14:paraId="381967A1" w14:textId="77777777" w:rsidTr="008E44E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5D9BABC4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№ 220.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Кишинэу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, 25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сентября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2025 г.</w:t>
            </w:r>
          </w:p>
        </w:tc>
      </w:tr>
      <w:tr w:rsidR="008E44E5" w:rsidRPr="008E44E5" w14:paraId="3DC69EB6" w14:textId="77777777" w:rsidTr="008E44E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</w:tcPr>
          <w:p w14:paraId="117482B2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</w:tbl>
    <w:p w14:paraId="41A954C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2336278" w14:textId="77777777" w:rsidR="008E44E5" w:rsidRP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424FF3AC" w14:textId="77777777" w:rsidR="008E44E5" w:rsidRP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18618914" w14:textId="77777777" w:rsidR="008E44E5" w:rsidRP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2147AE1B" w14:textId="77777777" w:rsidR="008E44E5" w:rsidRP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4B1C8500" w14:textId="77777777" w:rsidR="008E44E5" w:rsidRP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1C77AB31" w14:textId="77777777" w:rsidR="008E44E5" w:rsidRP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2BCFCE6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E95722C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DB07AE1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E30BBC1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32F60E2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47FA90F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C6A4D22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76B7F546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E6117A2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4C15A169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8AA66C8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26690B8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7EF84DD2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86EE5E7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590DDE87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2C58863B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4B8C2D34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3BE9B4D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432C2091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492CE64A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59A6498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DB40079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1A43D656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1D608F5F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2C40874" w14:textId="77777777" w:rsid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1825D5C5" w14:textId="173ECA37" w:rsidR="008E44E5" w:rsidRP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</w:t>
      </w:r>
      <w:proofErr w:type="spellEnd"/>
    </w:p>
    <w:p w14:paraId="7E86B5FD" w14:textId="77777777" w:rsidR="008E44E5" w:rsidRP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</w:p>
    <w:p w14:paraId="1100996F" w14:textId="77777777" w:rsidR="008E44E5" w:rsidRP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5F0AE7CD" w14:textId="77777777" w:rsidR="008E44E5" w:rsidRPr="008E44E5" w:rsidRDefault="008E44E5" w:rsidP="008E44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№ 220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25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сентября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2025 г.</w:t>
      </w:r>
    </w:p>
    <w:p w14:paraId="406B915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9B2B533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РЕГЛАМЕНТ</w:t>
      </w:r>
    </w:p>
    <w:p w14:paraId="57DE717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банков</w:t>
      </w:r>
      <w:proofErr w:type="spellEnd"/>
    </w:p>
    <w:p w14:paraId="0BB4D44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3416C8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перекладывает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ст.4 (1), п.34; ст.271; ст.272 (п.1-9, 11-12, 12a, 17-22, 24-26); ст.273 (1), (3)-(9); ст.273a; ст.273b; ст.274; ст.275; ст.276; ст.277 (1)-(4); ст.277a; ст.278; ст.279; ст.279a (1), п.(a), (c) и (2); ст.279b; ст.279c (1), п.(a) и (2); ст.280; ст.280a; ст.280b; ст.280c; ст.280d; ст.280e; ст.280f; ст.281 (1) и (2), п.(a)-(b), (d)-(m); ст.282 (1)-(2), (3), п.(b) и (4); ст.291 (1)-(2), (4)-(6); ст.295, п.(a) и (b); ст.296 (2) и (3)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тезис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ст.297 (1)-(3); ст.298; ст.299 (2), п.(b)-(e), (g)-(h); ст.300 (п.1-5, п.7-11); ст.301-311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575/2013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26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пруденциальных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инвестиционным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компаниям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№ 648/2012,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опубликованного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L 176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27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CELEX: 32013R0575,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2023/2869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2023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FED801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557AE4D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I</w:t>
      </w:r>
    </w:p>
    <w:p w14:paraId="0FC67F7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ОБЩИЕ ПОЛОЖЕНИЯ</w:t>
      </w:r>
    </w:p>
    <w:p w14:paraId="4D13BFC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9B047AD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1</w:t>
      </w:r>
    </w:p>
    <w:p w14:paraId="4ABA754A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Сфера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понятия</w:t>
      </w:r>
      <w:proofErr w:type="spellEnd"/>
    </w:p>
    <w:p w14:paraId="6E326F9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методологию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FF11B8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правила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долгосрочным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FB8D75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принципы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элементам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129F64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местонахождением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отделениям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лицензированы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1D9DB5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понятия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DC0281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договорной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различными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продуктами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-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двустороннее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уникальное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покрывающее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двусторонние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рамочные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FCFD17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физическое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способность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2A31EB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(CPC)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осуществляющее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взаимодействие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становясь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покупателем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продавца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продавцом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покупателя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6DE289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квалифицированный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(CPCC)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авторизован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компетентным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государства-члена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третьей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стране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ЕС;</w:t>
      </w:r>
    </w:p>
    <w:p w14:paraId="13C75DE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lastRenderedPageBreak/>
        <w:t>клиент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членом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позволяют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компенсировать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CPC;</w:t>
      </w:r>
    </w:p>
    <w:p w14:paraId="626B34B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клиент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высшего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предоставляющий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компенсационные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услуги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низшего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5D27F1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клиент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низшего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доступ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услугам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высшего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7616B3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маржинальный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договор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–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второму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второго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уровень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F5A239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нефинансируемый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взнос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обязался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центральному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исчерпал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понесенных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014748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кросс-продуктовый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неттинг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продуктовых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неттинга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правилами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кросс-продуктового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неттинга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BC757F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транзакционный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причитающуюся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еще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перечисленных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125,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первоначальную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986F21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защищенные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неплатежеспособности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клиентских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механизмы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доступны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кредиторам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неплатежеспособности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доступны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понесенных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являющимися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902B8F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клиринговый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участник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ответственность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вытекающих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87DEC2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выполнившим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ликвидируется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снова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1D9CF5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порог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наибольшая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сторон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;</w:t>
      </w:r>
    </w:p>
    <w:p w14:paraId="4BF40C6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позиция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присваивается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заранее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алгоритма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III;</w:t>
      </w:r>
    </w:p>
    <w:p w14:paraId="6C8CB67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кредитный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(CCR)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окончательного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денежным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потокам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D41C8E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–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IV</w:t>
      </w:r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;</w:t>
      </w:r>
    </w:p>
    <w:p w14:paraId="0FC52A8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двухсторонней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точки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зрения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VI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 и VI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техниках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112/2018).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двухсторонней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точки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зрения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VI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сама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9FE149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платежный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сегмент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внебиржевым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линейным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профилем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предусматривающий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взамен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предусматривающих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взамен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сегмента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369265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многоуровневая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структура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–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косвенный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механизм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услуги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очередь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высшего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3EFF17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независимая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реальных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(NICA) –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вариации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70FBF6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длительным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поставить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иностранной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взамен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наоборот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длительность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вступает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короче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22F4D8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приобретением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продажей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владением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займы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BBD1B5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предоставлению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получению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обеспеченная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гарантией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денежном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залогом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обмениваются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депозитами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выступает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посредником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0CEAB6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с CPC –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перечисленные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125,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непосредственно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перечисленными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CPC;</w:t>
      </w:r>
    </w:p>
    <w:p w14:paraId="33925D5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наличная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–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наличными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деньгами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долевыми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наличными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наличными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однако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выкупа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наличными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112D08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текущая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(CMV) –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удерживаемой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положительные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компенсируются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отрицательными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CMV.</w:t>
      </w:r>
    </w:p>
    <w:p w14:paraId="19D6BEA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E5D1749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345326B5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Определение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</w:p>
    <w:p w14:paraId="7500C9C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вправе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выкупа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дачи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долгосрочным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112/2018.</w:t>
      </w:r>
    </w:p>
    <w:p w14:paraId="3A49402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72E7A2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D0FD75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упрощенный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3C4396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первоначальной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9DA413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504A1F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II</w:t>
      </w:r>
    </w:p>
    <w:p w14:paraId="1DC54E8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МЕТОДЫ РАСЧЕТА СТОИМОСТИ ПОДВЕРЖЕННОСТИ</w:t>
      </w:r>
    </w:p>
    <w:p w14:paraId="3563534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E7FE09B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1</w:t>
      </w:r>
    </w:p>
    <w:p w14:paraId="4AD86B28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Методы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</w:p>
    <w:p w14:paraId="6B93B6F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стандартизованному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114/2018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114/2018),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III-V,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CE029D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IV.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V.</w:t>
      </w:r>
    </w:p>
    <w:p w14:paraId="5EB1981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комбинированно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постоянно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III-V.</w:t>
      </w:r>
    </w:p>
    <w:p w14:paraId="5E24575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комбинированно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III-V,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постоянно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250/2017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страховщиками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перестраховщиками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инвестиционными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входящими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конгломерат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336714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приобретает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посредством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IX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ноль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124.2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124.</w:t>
      </w:r>
    </w:p>
    <w:p w14:paraId="4AA57DA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последовательно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приобретены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112/2018.</w:t>
      </w:r>
    </w:p>
    <w:p w14:paraId="49D1371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дефолтного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swap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ноль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A3C6B7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III-V,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AF4825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противоположной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стороной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III-V,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138F4B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внебиржевых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перечисленные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114/2018,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большей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нуля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разницы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размера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(CVA)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понесенная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скидка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балансовой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какой-либо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компенсирующей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дебета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присвоенной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26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109/2018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109/2018).</w:t>
      </w:r>
    </w:p>
    <w:p w14:paraId="510FB68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III-V,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внебиржевых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совпадают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нулю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2D9B0B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16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внебиржевых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совпадают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45DDA6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17.1.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противоположны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F90DE3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17.2.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характеристики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идентичны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3AA99C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17.3.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денежные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потоки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компенсируются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100 %.</w:t>
      </w:r>
    </w:p>
    <w:p w14:paraId="22DB774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долгосрочных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III–V,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выбранного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внебиржевых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выкупа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дачи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87B0FB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COREP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117/2018.</w:t>
      </w:r>
    </w:p>
    <w:p w14:paraId="0417D40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12DC884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74723DBA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упрощенных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</w:p>
    <w:p w14:paraId="5DB6F73D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</w:p>
    <w:p w14:paraId="4F37C3F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IV,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балансовых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меньше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пороговых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проводимой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ежемесячно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месяца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964B3C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20.1. 10 %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75231E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20.2.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эквивалент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300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миллионов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EUR.</w:t>
      </w:r>
    </w:p>
    <w:p w14:paraId="4751963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балансовых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меньше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пороговых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проводимой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ежемесячно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месяца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FFC2B9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21.1. 5 %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820625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эквивалент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миллионов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EUR.</w:t>
      </w:r>
    </w:p>
    <w:p w14:paraId="7D69AFC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22.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 и 21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балансовых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месяца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A89F92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22.1.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оцениваются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недоступна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справедливую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становится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доступной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справедливая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недоступны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самую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последнюю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справедливую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A292C0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22.2.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абсолютная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длинной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суммируется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абсолютной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коротких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88C06D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22.3.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EEEC2A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22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длинные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короткие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136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109/2018.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длинной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короткой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длинных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коротких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22.3.</w:t>
      </w:r>
    </w:p>
    <w:p w14:paraId="38AED0D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лимиты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консолидированном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укладывается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лимиты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IV,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58DD2B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направляет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прилагаются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обосновывающие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запрос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подтверждающие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24 и 34,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CD8B84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румынском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языке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подписываются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уполномоченным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123404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25,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25 и 26,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письменной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подачи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письма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недостающие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066E47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заполняет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комплект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информирует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прекращении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административной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истечения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657E4A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комплекта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отклоняет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уведомляя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письменной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рассмотрение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обработки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продлен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4EAB2D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недостаточными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34,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вправе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запросить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ADB4DA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31.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приостанавливается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29.</w:t>
      </w:r>
    </w:p>
    <w:p w14:paraId="2A3EC2F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указываются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отклоняется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4C9E8D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32.1.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невыполнение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34,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и/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10F5CCD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32.2.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ложной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недостоверной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противоречивой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0C0BE1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32.3.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непредставление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подтверждающих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34,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D49F5C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вправе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IV,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24,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выдачи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9661F8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прекращают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DD3F77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инициируют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покупают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единственной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 и 21,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ходе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ежемесячной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7C8D13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E0F0E09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629A4E0D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Несоблюдение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упрощенных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</w:p>
    <w:p w14:paraId="54B1404F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упрощенного</w:t>
      </w:r>
      <w:proofErr w:type="spellEnd"/>
    </w:p>
    <w:p w14:paraId="2EFCECA5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расчету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CVA</w:t>
      </w:r>
    </w:p>
    <w:p w14:paraId="380F368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немедленно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позднее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AABC8E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прекращает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упрощенным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возникновения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ситуаций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B4773C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37.1.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21.1.,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21.2.,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подряд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F30762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37.2.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20.1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21.1,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20.2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21.2,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предыдущих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13265B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прекратил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разрешается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вновь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упрощенным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35-44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уведомляют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доказывают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непрерывного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5747D9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101C8C4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III</w:t>
      </w:r>
    </w:p>
    <w:p w14:paraId="4C7FDDAC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СТАНДАРТИЗИРОВАННЫЙ ПОДХОД К КРЕДИТНОМУ</w:t>
      </w:r>
    </w:p>
    <w:p w14:paraId="6067DA7C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РИСКУ КОНТРАГЕНТА</w:t>
      </w:r>
    </w:p>
    <w:p w14:paraId="0B35C06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8241FB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0CE09A14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</w:p>
    <w:p w14:paraId="1F839D6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кумулятивно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73A2B5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39.1.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106 и 107;</w:t>
      </w:r>
    </w:p>
    <w:p w14:paraId="2D9EA2C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39.2.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108-111;</w:t>
      </w:r>
    </w:p>
    <w:p w14:paraId="39D72F7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39.3.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выполнил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112-116,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F43CDA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какое-либо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735641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64CEFA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0932088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α · (RC + PFE)</w:t>
      </w:r>
    </w:p>
    <w:p w14:paraId="4753B7B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1BC4ED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RC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49-61; и</w:t>
      </w:r>
    </w:p>
    <w:p w14:paraId="602A242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PFE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66-68;</w:t>
      </w:r>
    </w:p>
    <w:p w14:paraId="4BBA3BC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α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1,4.</w:t>
      </w:r>
    </w:p>
    <w:p w14:paraId="4294C11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являющегося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ограничивается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какого-либо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FC0BA9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распространяется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распространяется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FC2286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43.1.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принимая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внимание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694446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43.1.1. CMV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удерживаемой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положительные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отрицательные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компенсируются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CMV;</w:t>
      </w:r>
    </w:p>
    <w:p w14:paraId="111095D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43.1.2. NICA, VM, TH и MTA,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входных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индивидуальному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451D11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43.2.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66-68,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относящихся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мультипликатору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входных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CMV, NICA и VM,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43.1.</w:t>
      </w:r>
    </w:p>
    <w:p w14:paraId="11D04E9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нулевую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удовлетворяет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F63661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44.1.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исключительно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34FA65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44.2.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отрицательной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1AE384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44.3.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премия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авансом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3B26E6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44.4.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компенсационный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какого-либо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F4291D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компенсационном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конечную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линейную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комбинацию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купленных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составляющими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линейную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комбинацию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рассматриваемыми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компенсационного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7E14A2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45,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цифровой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ванилла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комбинацией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коллар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купленных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ванилла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отвечают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8E5C53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46.1.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коллар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1CB475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46.1.1.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срочную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цифровой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ванилла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E7C9A3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46.1.2.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0,95•K и 1,05•K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D35000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46.2.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коллар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точно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воспроизводит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доходность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цифровой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ванилла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пределами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диапазона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двумя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46.1.</w:t>
      </w:r>
    </w:p>
    <w:p w14:paraId="354E16F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комбинации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коллар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46,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69.</w:t>
      </w:r>
    </w:p>
    <w:p w14:paraId="0FD4754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длинную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поддержании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ограничена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просроченной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невыплаченной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премии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являющийся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</w:p>
    <w:p w14:paraId="64A2D87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6571A4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66972553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замены</w:t>
      </w:r>
      <w:proofErr w:type="spellEnd"/>
    </w:p>
    <w:p w14:paraId="4F7FC8B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RC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являющихся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4437C4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C03964B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RC =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max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{CMV – NICA, 0}</w:t>
      </w:r>
    </w:p>
    <w:p w14:paraId="10A9A7A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7921E9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являющихся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BAC6E0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106075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RC =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max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{CMV – VM - NICA, TH + MTA – NICA, 0}</w:t>
      </w:r>
    </w:p>
    <w:p w14:paraId="1F53832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1DBF32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RC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E0C9DB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VM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регулярной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смягчения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колебаний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50AB72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TH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пороговое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1720B52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MTA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минимальная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перевода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CD1465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множественных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3838C6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8AD6836" w14:textId="780312C4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1EF09AC" wp14:editId="5D21E2B5">
            <wp:extent cx="5940425" cy="410210"/>
            <wp:effectExtent l="0" t="0" r="3175" b="889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3CCF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E59ED8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AFB165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RC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D93B79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i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индивидуального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6F7862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CMVi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i;</w:t>
      </w:r>
    </w:p>
    <w:p w14:paraId="30E285F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VM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MA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регулярной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сглаживания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колебаний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7D3B5CD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NICA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MA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множественных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VM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MA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9651F0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NICA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MA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763827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F900669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0352D06D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Признание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отношение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реальному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</w:p>
    <w:p w14:paraId="1B1296D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относящегося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VM, VM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MA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NICA и NICA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MA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331037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52.1.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25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118-124;</w:t>
      </w:r>
    </w:p>
    <w:p w14:paraId="7A5E721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52.2.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крайней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25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112/2018;</w:t>
      </w:r>
    </w:p>
    <w:p w14:paraId="144B233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52.3.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положительным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отрицательным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191ABA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52.4.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84-94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112/2018;</w:t>
      </w:r>
    </w:p>
    <w:p w14:paraId="6C72D68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52.5.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одновременно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VM и в NICA;</w:t>
      </w:r>
    </w:p>
    <w:p w14:paraId="0C9C96A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52.6.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одновременно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VM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MA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и в NICA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MA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E4BE1D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52.7.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никакая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недоступна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неплатежеспособности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наступления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невозврата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неплатежеспособности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NICA и NICA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MA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0234A1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52.4.,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87 и 88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4DE710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4A3128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C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VA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C · (1 + H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c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+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H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fx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)</w:t>
      </w:r>
    </w:p>
    <w:p w14:paraId="6F0B927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9FF115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C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VA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3948E0F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C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BEA491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H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c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H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fx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87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112/2018.</w:t>
      </w:r>
    </w:p>
    <w:p w14:paraId="260261B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52.4.,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ликвидации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49.</w:t>
      </w:r>
    </w:p>
    <w:p w14:paraId="446AFD4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78339D3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4</w:t>
      </w:r>
    </w:p>
    <w:p w14:paraId="604E33DC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Классификация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3328617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66-68:</w:t>
      </w:r>
    </w:p>
    <w:p w14:paraId="2F2F738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55.1.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A6F304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55.2.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69CA6E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55.3.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2BCD1B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55.4.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0C5A6A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55.5.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998353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55.6.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F3DFD7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классификацию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55,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единственный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8324B1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56,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классифицируют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классифицировать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крайней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C76E74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55-57,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перечисленным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55,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89269C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58.1.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переменная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3F1B85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58.2.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переменная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B3A87E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F7D5529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lastRenderedPageBreak/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</w:t>
      </w:r>
    </w:p>
    <w:p w14:paraId="5638B313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583ACE0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неттинга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2FF7CA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деноминирован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E5DC16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деноминирован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DD2334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40561E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59.4.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D89257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59.5.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характера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57:</w:t>
      </w:r>
    </w:p>
    <w:p w14:paraId="21703F6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59.5.1.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энергия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A3DD43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59.5.2.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металлы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1044FB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59.5.3.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сельскохозяйственная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продукция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D72658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59.5.4.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8AF0F7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59.5.5.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погодные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EF2280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59.6.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идентичным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AF61A1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59.1.,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переменная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отличные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относящихся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переменная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инфляцией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деноминирован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E53A8C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 и 60,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A7E3AD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61.1.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подразумеваемая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реализованная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двумя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7A37F6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61.2.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значимым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разницу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двумя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относящимися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сегментов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деноминированных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сегмент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содержит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65B689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62.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идентичным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BC817F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61.2.,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61.2.,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идентична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двумя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составляющими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положительная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61.2.,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61.2.</w:t>
      </w:r>
    </w:p>
    <w:p w14:paraId="064D020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пределах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составу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59.</w:t>
      </w:r>
    </w:p>
    <w:p w14:paraId="53548EF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61–64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существенном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DFD057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EC8D7B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6</w:t>
      </w:r>
    </w:p>
    <w:p w14:paraId="1A077333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Потенциальная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будущая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2ADB337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651F7B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1998DD0" w14:textId="2C8C16FA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A52B033" wp14:editId="38263355">
            <wp:extent cx="2857500" cy="5048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225F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0D7B14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PFE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DB7C9E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ECA759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(a)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78–98,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080E22A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множитель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multiplier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68.</w:t>
      </w:r>
    </w:p>
    <w:p w14:paraId="21546A1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add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-on)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конкретной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хотя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E76ACC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подпадающим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подпадали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какого-либо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9CF1F8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множитель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9F8E0E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BD89824" w14:textId="0C1A2293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lastRenderedPageBreak/>
        <w:drawing>
          <wp:inline distT="0" distB="0" distL="0" distR="0" wp14:anchorId="613E6E84" wp14:editId="557F34D1">
            <wp:extent cx="5829300" cy="9525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18CF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699011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Порог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floor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 m = 5 %;</w:t>
      </w:r>
    </w:p>
    <w:p w14:paraId="56CBE62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y = 2 · (1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Prag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m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· Σ a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(a)</w:t>
      </w:r>
    </w:p>
    <w:p w14:paraId="674A8B9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1D90222" w14:textId="5F601B1C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322B491" wp14:editId="1B532285">
            <wp:extent cx="5940425" cy="622935"/>
            <wp:effectExtent l="0" t="0" r="3175" b="571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39EA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NICAi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NICAi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0595CE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78–98,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RiskPosition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F4D0E3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A270BCD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Позиция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δ ·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AdjNot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· MF</w:t>
      </w:r>
    </w:p>
    <w:p w14:paraId="06FC9DA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439C66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δ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регулируемая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70 и 71;</w:t>
      </w:r>
    </w:p>
    <w:p w14:paraId="577CF4A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AdjNot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72-74; и</w:t>
      </w:r>
    </w:p>
    <w:p w14:paraId="6FC2439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MF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75-76.</w:t>
      </w:r>
    </w:p>
    <w:p w14:paraId="0AA8F0E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E2E5BA2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7</w:t>
      </w:r>
    </w:p>
    <w:p w14:paraId="237E128C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Регулятивная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дельта</w:t>
      </w:r>
      <w:proofErr w:type="spellEnd"/>
    </w:p>
    <w:p w14:paraId="369A3D4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регулятивную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62DC46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70.1.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покупателю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купить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положительной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классифицируются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4D3932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3C232AA" w14:textId="5A28F933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575E6C1" wp14:editId="599C3EFB">
            <wp:extent cx="4143375" cy="55245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6D4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652847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δ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регулируемая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дельта</w:t>
      </w:r>
      <w:proofErr w:type="spellEnd"/>
    </w:p>
    <w:p w14:paraId="56AFF2D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знак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sign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– 1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колл-опцион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купленный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пут-опцион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703EB7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знак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sign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+ 1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купленный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колл-опцион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пут-опцион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C6CE10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тип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type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– 1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пут-опционом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80207E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тип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type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+ 1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колл-опционом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0F74AB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N(x)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кумулятивная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функция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нормальной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случайной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вероятность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нормально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распределенная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случайная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средним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дисперсией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меньше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x;</w:t>
      </w:r>
    </w:p>
    <w:p w14:paraId="19FA481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P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форвардная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денежные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потоки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зависят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P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среднему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1AC6CA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ED020E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T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истечения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exp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exp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exp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T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конвенции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518AEB2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σ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регулируемая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характера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96CEC1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3975"/>
        <w:gridCol w:w="1728"/>
      </w:tblGrid>
      <w:tr w:rsidR="008E44E5" w:rsidRPr="008E44E5" w14:paraId="4ADD3187" w14:textId="77777777" w:rsidTr="008E44E5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A5140" w14:textId="77777777" w:rsidR="008E44E5" w:rsidRPr="008E44E5" w:rsidRDefault="008E44E5" w:rsidP="008E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1</w:t>
            </w:r>
          </w:p>
          <w:p w14:paraId="1AFBD9BF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8E44E5" w:rsidRPr="008E44E5" w14:paraId="33184BBA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1EA47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Категория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55E4B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Базовый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инструмент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F1512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Регулируемая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волатильность</w:t>
            </w:r>
            <w:proofErr w:type="spellEnd"/>
          </w:p>
        </w:tc>
      </w:tr>
      <w:tr w:rsidR="008E44E5" w:rsidRPr="008E44E5" w14:paraId="02681A57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DDF88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Валютный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1550C2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7C89D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15 %</w:t>
            </w:r>
          </w:p>
        </w:tc>
      </w:tr>
      <w:tr w:rsidR="008E44E5" w:rsidRPr="008E44E5" w14:paraId="7F305917" w14:textId="77777777" w:rsidTr="008E44E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723EA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B9BD92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Инструмент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основанный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одной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A7AA8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100 %</w:t>
            </w:r>
          </w:p>
        </w:tc>
      </w:tr>
      <w:tr w:rsidR="008E44E5" w:rsidRPr="008E44E5" w14:paraId="601A65A0" w14:textId="77777777" w:rsidTr="008E44E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6D44B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B34B6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Инструмент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нескольких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подписей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20082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80 %</w:t>
            </w:r>
          </w:p>
        </w:tc>
      </w:tr>
      <w:tr w:rsidR="008E44E5" w:rsidRPr="008E44E5" w14:paraId="298D44DE" w14:textId="77777777" w:rsidTr="008E44E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98244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Ценные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бумаг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74E0F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Инструмент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основанный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одной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A69E6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120 %</w:t>
            </w:r>
          </w:p>
        </w:tc>
      </w:tr>
      <w:tr w:rsidR="008E44E5" w:rsidRPr="008E44E5" w14:paraId="51488353" w14:textId="77777777" w:rsidTr="008E44E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7C7D9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AA971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Инструмент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основе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нескольких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подписей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35D8B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75 %</w:t>
            </w:r>
          </w:p>
        </w:tc>
      </w:tr>
      <w:tr w:rsidR="008E44E5" w:rsidRPr="008E44E5" w14:paraId="72144126" w14:textId="77777777" w:rsidTr="008E44E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2DB4B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Товар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3CBC6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Электроэнергия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D4A9C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150 %</w:t>
            </w:r>
          </w:p>
        </w:tc>
      </w:tr>
      <w:tr w:rsidR="008E44E5" w:rsidRPr="008E44E5" w14:paraId="0B9A17FB" w14:textId="77777777" w:rsidTr="008E44E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44006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8EB57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товары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(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кроме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электроэнергии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9352F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70 %</w:t>
            </w:r>
          </w:p>
        </w:tc>
      </w:tr>
      <w:tr w:rsidR="008E44E5" w:rsidRPr="008E44E5" w14:paraId="6FD1EE40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6ABBC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723EF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3A8375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150 %</w:t>
            </w:r>
          </w:p>
        </w:tc>
      </w:tr>
    </w:tbl>
    <w:p w14:paraId="63AE09C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6BA134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форвардную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B833C0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70.1.1.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форвардная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характеристикам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4A398B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70.1.2.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форвардная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3265DB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70.1.3.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форвардная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ожидаемые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денежные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потоки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истечения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1E679B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70.2.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траншей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синтетической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секьюритизации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“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th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-to-default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” (n-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невозврата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1D856D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3877B00" w14:textId="7ABDB318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7227047" wp14:editId="788AAA8C">
            <wp:extent cx="3352800" cy="5810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6782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4BB6E9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58F7B11" w14:textId="0D1FE4FA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F3A186D" wp14:editId="45C0B656">
            <wp:extent cx="5940425" cy="546735"/>
            <wp:effectExtent l="0" t="0" r="3175" b="571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029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667CEBF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потолок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выделения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транша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“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nth-to-default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”,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A = (n – 1)/k; и</w:t>
      </w:r>
    </w:p>
    <w:p w14:paraId="61743FE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D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конечная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точка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транша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“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nth-to-default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”,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D = n/k;</w:t>
      </w:r>
    </w:p>
    <w:p w14:paraId="43C4B2C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70.3.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70.1.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70.2.,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регулируемую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C0C1E3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7EF0EBA" w14:textId="5292F3A6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2C7F620" wp14:editId="2AC7EB19">
            <wp:extent cx="5940425" cy="824230"/>
            <wp:effectExtent l="0" t="0" r="317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4AFA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9A2F7A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длинная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существенному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увеличивается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увеличивается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короткая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существенному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уменьшается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увеличивается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C0389A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EC57AAD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8</w:t>
      </w:r>
    </w:p>
    <w:p w14:paraId="79002DF7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сумма</w:t>
      </w:r>
      <w:proofErr w:type="spellEnd"/>
    </w:p>
    <w:p w14:paraId="16F044F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A9237F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72.1.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номинальную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произведение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номинальной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регуляторного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дюрации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6797A6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D58ED46" w14:textId="1433C80E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C39EC16" wp14:editId="050B0E64">
            <wp:extent cx="5940425" cy="290195"/>
            <wp:effectExtent l="0" t="0" r="317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793710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E63977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DB5C6F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обновления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5%;</w:t>
      </w:r>
    </w:p>
    <w:p w14:paraId="519E770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74A039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окончания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7D7897D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OneBusinessYear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правил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665E0B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самая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ранняя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производится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пользу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произведены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0.</w:t>
      </w:r>
    </w:p>
    <w:p w14:paraId="5D6B46A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расторжении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наступления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согласованного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ранней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782D4B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72.1.1.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самая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ранняя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расторжении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наступления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126DB4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72.1.2.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начинают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AB6FD3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повлечь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возникновение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ранней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начинают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91C4F3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прекращения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последняя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пользу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стороны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E18BC8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повлечь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возникновение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вытекают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прекращения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605CAC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структурирована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непогашенная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задолженность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пересмотрены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нулю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непогашенной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740390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72.2.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классифицируемых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5D8EFD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72.2.1.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E755E8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72.2.2.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сегментов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сегмента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номинальную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сегмента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7B8119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72.2.3.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сегментов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сегмента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отличной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большую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сегментов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конвертации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действующему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B87E90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72.3.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классифицируемых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произведение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единицы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единиц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803B89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классифицируемая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единиц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1CC524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72.4.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подходящего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72.1.-72.3.,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характера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характеристик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67DC2E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единиц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1AA6EC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 xml:space="preserve">73.1.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единиц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268D33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73.1.1.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детерминированных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детерминированного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единиц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средневзвешенное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детерминированных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единиц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наступления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причем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A7B8F5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73.1.2.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стохастических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единиц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135E1F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73.2.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предусматривающих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многократный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оставшихся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оплате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B2A2B1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73.3.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предусматривающих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денежными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потоками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отразить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влияние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BC3652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конвертировать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действующему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спотовому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количества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единиц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20C363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98822BD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9</w:t>
      </w:r>
    </w:p>
    <w:p w14:paraId="46A968D4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</w:p>
    <w:p w14:paraId="6C276162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3DCFDAA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A04CBE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50E56F2" w14:textId="75C9E1C1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522E642" wp14:editId="294FCF21">
            <wp:extent cx="4419600" cy="3333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A647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F5C3DC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MF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0BB0FB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прекращения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вытекающих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опциональность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считаться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конвенции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привести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вытекающим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прекращения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относящихся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структурирована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оставшаяся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урегулируется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пересматриваются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нулю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оставшемуся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пересмотра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435725E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OneBusinessYear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правил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155751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75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оставшемуся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пересмотра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структурированы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оставшиеся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пересмотрены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нулю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678F3D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78–98,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"є",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92EE00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654A9C9" w14:textId="759C13F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6E81292" wp14:editId="70227980">
            <wp:extent cx="5940425" cy="551180"/>
            <wp:effectExtent l="0" t="0" r="3175" b="12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23D9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600AA55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10</w:t>
      </w:r>
    </w:p>
    <w:p w14:paraId="429363CF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процентного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2B68C96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66–68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E02452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8241534" w14:textId="37DEB5F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01D4567" wp14:editId="26020DF8">
            <wp:extent cx="2247900" cy="6096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478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51AE58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IR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3E3491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59.1.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61–64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0177351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IR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79.</w:t>
      </w:r>
    </w:p>
    <w:p w14:paraId="553DAA3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9B81CE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738D6AD" w14:textId="6D9A18DC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DFC5C81" wp14:editId="0D46BBAA">
            <wp:extent cx="3019425" cy="3714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9D1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8E83B7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є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77;</w:t>
      </w:r>
    </w:p>
    <w:p w14:paraId="303D836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IR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0,5%; и</w:t>
      </w:r>
    </w:p>
    <w:p w14:paraId="42E7752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EffNot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IR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80.</w:t>
      </w:r>
    </w:p>
    <w:p w14:paraId="4485B4A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сначала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транзакцию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окончания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72.1.:</w:t>
      </w:r>
    </w:p>
    <w:p w14:paraId="58713F7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5693"/>
      </w:tblGrid>
      <w:tr w:rsidR="008E44E5" w:rsidRPr="008E44E5" w14:paraId="7A5F5933" w14:textId="77777777" w:rsidTr="008E44E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BAFCA" w14:textId="77777777" w:rsidR="008E44E5" w:rsidRPr="008E44E5" w:rsidRDefault="008E44E5" w:rsidP="008E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2</w:t>
            </w:r>
          </w:p>
          <w:p w14:paraId="6EB394C6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8E44E5" w:rsidRPr="008E44E5" w14:paraId="4ABC67FB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E01AC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2FEF8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Дата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окончания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(в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годах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)</w:t>
            </w:r>
          </w:p>
        </w:tc>
      </w:tr>
      <w:tr w:rsidR="008E44E5" w:rsidRPr="008E44E5" w14:paraId="34240694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DD3A3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CEAAF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&gt;0 и &lt;=1</w:t>
            </w:r>
          </w:p>
        </w:tc>
      </w:tr>
      <w:tr w:rsidR="008E44E5" w:rsidRPr="008E44E5" w14:paraId="1CF46E86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D2EC9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8B8C0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&gt;1 и &lt;= 5</w:t>
            </w:r>
          </w:p>
        </w:tc>
      </w:tr>
      <w:tr w:rsidR="008E44E5" w:rsidRPr="008E44E5" w14:paraId="7AC4A103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0DD2C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1E0AA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&gt; 5</w:t>
            </w:r>
          </w:p>
        </w:tc>
      </w:tr>
    </w:tbl>
    <w:p w14:paraId="6461E65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1ACDF04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987530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789ADE2" w14:textId="2209994A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575A3C6" wp14:editId="1FC6A08A">
            <wp:extent cx="5940425" cy="435610"/>
            <wp:effectExtent l="0" t="0" r="3175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0654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6996AA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69C20D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EffNot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IR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j; и</w:t>
      </w:r>
    </w:p>
    <w:p w14:paraId="6EA4B21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Dj, k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F51225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69EC1AA" w14:textId="33C61EE9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D188D6B" wp14:editId="7F106A2C">
            <wp:extent cx="2305050" cy="495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65B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CE3A20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RiskPosition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).</w:t>
      </w:r>
    </w:p>
    <w:p w14:paraId="33CAEFD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B60893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11</w:t>
      </w:r>
    </w:p>
    <w:p w14:paraId="117BCE1B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559EA93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66–68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foreign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exchange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FX)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2CE80C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72FAF1C" w14:textId="0F9E77AE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1F5F4FA" wp14:editId="054DAACF">
            <wp:extent cx="2362200" cy="5715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D83F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D9C567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FX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1AD4AB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59.2.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61–64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0017957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FX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82.</w:t>
      </w:r>
    </w:p>
    <w:p w14:paraId="23CDA0F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2A4058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976156C" w14:textId="5DF99CA9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3C3C9A6" wp14:editId="7DA27F46">
            <wp:extent cx="3371850" cy="4381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074E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230886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єj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77;</w:t>
      </w:r>
    </w:p>
    <w:p w14:paraId="1AED6E6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FX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4%;</w:t>
      </w:r>
    </w:p>
    <w:p w14:paraId="21B1F60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EffNot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FX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337943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63E4552" w14:textId="4317B944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91BD34E" wp14:editId="1D9DA034">
            <wp:extent cx="4219575" cy="5715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622D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6A494C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RiskPosition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).</w:t>
      </w:r>
    </w:p>
    <w:p w14:paraId="32EDB43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6426CAB0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12</w:t>
      </w:r>
    </w:p>
    <w:p w14:paraId="3F3AAAB0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48B2F93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510175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83.1.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лежащего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лежащий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выпущен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55D16D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83.2.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деривативов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лежащих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истории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истории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деривативов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лежащих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F41F79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66–68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0C4529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6A24D7E" w14:textId="37895DFF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B861454" wp14:editId="485D1F5F">
            <wp:extent cx="2762250" cy="5238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3A94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502B03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32FCFA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59.3.,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61–64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2C3E1C0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85.</w:t>
      </w:r>
    </w:p>
    <w:p w14:paraId="65C6E52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A51FF7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6C2E441" w14:textId="41B7769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1C6AECF" wp14:editId="0FFB9608">
            <wp:extent cx="5940425" cy="665480"/>
            <wp:effectExtent l="0" t="0" r="3175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B71E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B0D47B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784218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j;</w:t>
      </w:r>
    </w:p>
    <w:p w14:paraId="2307E66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єj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77;</w:t>
      </w:r>
    </w:p>
    <w:p w14:paraId="011DEE1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входящие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83;</w:t>
      </w:r>
    </w:p>
    <w:p w14:paraId="7443631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"k";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"k"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83,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83.1.,</w:t>
      </w:r>
    </w:p>
    <w:p w14:paraId="583E0DF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FAA147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50 %</w:t>
      </w:r>
    </w:p>
    <w:p w14:paraId="1AE1113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75E7D5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83,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83.2.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​​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"k",</w:t>
      </w:r>
    </w:p>
    <w:p w14:paraId="0EFA5C7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5B9815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80 %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; и</w:t>
      </w:r>
    </w:p>
    <w:p w14:paraId="28A2DC9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AF5505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Entitatek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86.</w:t>
      </w:r>
    </w:p>
    <w:p w14:paraId="0018F2E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82A553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B13F0A7" w14:textId="5F7CE010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7E2D224C" wp14:editId="13B34579">
            <wp:extent cx="3381375" cy="4000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41DB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3F4063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EffNot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39F29A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C0D8BAA" w14:textId="2ED515AE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489BB6A" wp14:editId="5F35D263">
            <wp:extent cx="4095750" cy="571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3C1C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11F263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RiskPosition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); и</w:t>
      </w:r>
    </w:p>
    <w:p w14:paraId="230A34A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k,l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97.</w:t>
      </w:r>
    </w:p>
    <w:p w14:paraId="599272E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24F393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87.1.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83,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83.1.,</w:t>
      </w:r>
    </w:p>
    <w:p w14:paraId="14539A3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64F637A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k,l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</w:p>
    <w:p w14:paraId="0EA82E1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4FC077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сопоставляется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внешней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проведенной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назначенным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ECAI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индивидуального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3B7FA9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индивидуального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отсутствует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назначенного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ECAI,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111/2018,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присваивает</w:t>
      </w:r>
      <w:proofErr w:type="spellEnd"/>
    </w:p>
    <w:p w14:paraId="341429F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49B1020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k,l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0,54 %</w:t>
      </w:r>
    </w:p>
    <w:p w14:paraId="4BC646D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099385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Однако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трактовку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субординированных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индивидуального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присваивает</w:t>
      </w:r>
      <w:proofErr w:type="spellEnd"/>
    </w:p>
    <w:p w14:paraId="61135A5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k,l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1,6 %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субъекту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E7CA0C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4976"/>
      </w:tblGrid>
      <w:tr w:rsidR="008E44E5" w:rsidRPr="008E44E5" w14:paraId="200D50CC" w14:textId="77777777" w:rsidTr="008E44E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1CE56" w14:textId="77777777" w:rsidR="008E44E5" w:rsidRPr="008E44E5" w:rsidRDefault="008E44E5" w:rsidP="008E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3</w:t>
            </w:r>
          </w:p>
          <w:p w14:paraId="67C5885D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8E44E5" w:rsidRPr="008E44E5" w14:paraId="08168814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162FF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Уровень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качества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FB604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Коэффициент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установленный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Национальным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банком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Молдовы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операций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основе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одной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подписи</w:t>
            </w:r>
            <w:proofErr w:type="spellEnd"/>
          </w:p>
        </w:tc>
      </w:tr>
      <w:tr w:rsidR="008E44E5" w:rsidRPr="008E44E5" w14:paraId="4F472120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F2BD3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11F36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0,38 %</w:t>
            </w:r>
          </w:p>
        </w:tc>
      </w:tr>
      <w:tr w:rsidR="008E44E5" w:rsidRPr="008E44E5" w14:paraId="6912D5A5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E9F8A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B65F2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0,42 %</w:t>
            </w:r>
          </w:p>
        </w:tc>
      </w:tr>
      <w:tr w:rsidR="008E44E5" w:rsidRPr="008E44E5" w14:paraId="27D849EB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B07F7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D4D38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0,54 %</w:t>
            </w:r>
          </w:p>
        </w:tc>
      </w:tr>
      <w:tr w:rsidR="008E44E5" w:rsidRPr="008E44E5" w14:paraId="70C65A35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8776A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9FC72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1,06 %</w:t>
            </w:r>
          </w:p>
        </w:tc>
      </w:tr>
      <w:tr w:rsidR="008E44E5" w:rsidRPr="008E44E5" w14:paraId="0E782253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F9752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CE634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1,6 %</w:t>
            </w:r>
          </w:p>
        </w:tc>
      </w:tr>
      <w:tr w:rsidR="008E44E5" w:rsidRPr="008E44E5" w14:paraId="4800B4D9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97DEE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0DAA5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6,0 %</w:t>
            </w:r>
          </w:p>
        </w:tc>
      </w:tr>
    </w:tbl>
    <w:p w14:paraId="5E26B88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E83039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87.2.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83,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83.2.:</w:t>
      </w:r>
    </w:p>
    <w:p w14:paraId="532E8AA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87.2.1.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l,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присвоенная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котируемый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бирже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</w:t>
      </w:r>
    </w:p>
    <w:p w14:paraId="3B8B1D9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2FADE4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k,l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</w:p>
    <w:p w14:paraId="4D2F35D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732763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сопоставляется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​​с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большинства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5ED08E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87.2.2.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l,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присвоенная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87.2.1.,</w:t>
      </w:r>
    </w:p>
    <w:p w14:paraId="017B23E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C1CAE7A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k,l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</w:p>
    <w:p w14:paraId="235E778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A1D63E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средневзвешенным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присвоенных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87.1.,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причем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пропорцией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48F065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4193"/>
      </w:tblGrid>
      <w:tr w:rsidR="008E44E5" w:rsidRPr="008E44E5" w14:paraId="11FD935F" w14:textId="77777777" w:rsidTr="008E44E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2F4AD" w14:textId="77777777" w:rsidR="008E44E5" w:rsidRPr="008E44E5" w:rsidRDefault="008E44E5" w:rsidP="008E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Таблица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4</w:t>
            </w:r>
          </w:p>
          <w:p w14:paraId="3CA145BF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8E44E5" w:rsidRPr="008E44E5" w14:paraId="7C4A7778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B54F7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Доминирующее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качество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75D12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Коэффициент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установленный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Национальным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банком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Молдовы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котируемых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индексов</w:t>
            </w:r>
            <w:proofErr w:type="spellEnd"/>
          </w:p>
        </w:tc>
      </w:tr>
      <w:tr w:rsidR="008E44E5" w:rsidRPr="008E44E5" w14:paraId="7A79EE67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62137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Инвестиционный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рейтинг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5271A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0,38 %</w:t>
            </w:r>
          </w:p>
        </w:tc>
      </w:tr>
      <w:tr w:rsidR="008E44E5" w:rsidRPr="008E44E5" w14:paraId="352AF20D" w14:textId="77777777" w:rsidTr="008E44E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BDD14" w14:textId="77777777" w:rsidR="008E44E5" w:rsidRPr="008E44E5" w:rsidRDefault="008E44E5" w:rsidP="008E4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Неинвестиционный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рейтинг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D2540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1,06 %</w:t>
            </w:r>
          </w:p>
        </w:tc>
      </w:tr>
    </w:tbl>
    <w:p w14:paraId="4B94A27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02A26A5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13</w:t>
      </w:r>
    </w:p>
    <w:p w14:paraId="0C19593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</w:p>
    <w:p w14:paraId="4381561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89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3CFD35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88.1.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лежащего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базовый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лежащий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выпущен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эмитентом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6ECAD6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88.2.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долевых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лежащих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несколькими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долевых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подписью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лежащих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компоненты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0C4B2E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66–68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5108FD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76A832B" w14:textId="327F0084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2E7AA72" wp14:editId="77773025">
            <wp:extent cx="44958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6E99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1ABAE4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 de capital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248C52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59.4.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61-64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7CBF9B2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 xml:space="preserve"> de capital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90.</w:t>
      </w:r>
    </w:p>
    <w:p w14:paraId="5DB0971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AA1188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136142E" w14:textId="7D8646C9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C82C88F" wp14:editId="6936FC9F">
            <wp:extent cx="5940425" cy="645160"/>
            <wp:effectExtent l="0" t="0" r="3175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12A9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1BAA7E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0C8681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 xml:space="preserve"> de capital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j;</w:t>
      </w:r>
    </w:p>
    <w:p w14:paraId="734D268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єj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77;</w:t>
      </w:r>
    </w:p>
    <w:p w14:paraId="71CBAE0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входящие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88;</w:t>
      </w:r>
    </w:p>
    <w:p w14:paraId="2DE1451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 xml:space="preserve"> de capital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88.1.,</w:t>
      </w:r>
    </w:p>
    <w:p w14:paraId="3624AD3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8160EB7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 xml:space="preserve"> de capital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50%</w:t>
      </w:r>
    </w:p>
    <w:p w14:paraId="413F665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846B62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88.2.,</w:t>
      </w:r>
    </w:p>
    <w:p w14:paraId="0BC6009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612145F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 xml:space="preserve"> de capital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80% ; și</w:t>
      </w:r>
    </w:p>
    <w:p w14:paraId="3EA4671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413AA6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Entitatek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91.</w:t>
      </w:r>
    </w:p>
    <w:p w14:paraId="417C40F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6D491D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3EB4CE8" w14:textId="4A64C99A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lastRenderedPageBreak/>
        <w:drawing>
          <wp:inline distT="0" distB="0" distL="0" distR="0" wp14:anchorId="6054D410" wp14:editId="2591187A">
            <wp:extent cx="5162550" cy="390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2206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7D2954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Entitatek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k;</w:t>
      </w:r>
    </w:p>
    <w:p w14:paraId="24B631B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 xml:space="preserve"> de capital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88.1.,</w:t>
      </w:r>
    </w:p>
    <w:p w14:paraId="7C9E20A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957AB7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 xml:space="preserve"> de capital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32%</w:t>
      </w:r>
    </w:p>
    <w:p w14:paraId="1358E2C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401704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88.1.,</w:t>
      </w:r>
    </w:p>
    <w:p w14:paraId="563DD25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CBA9545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 xml:space="preserve"> de capital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20%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; și</w:t>
      </w:r>
    </w:p>
    <w:p w14:paraId="3CFD26B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6C44D7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EffNot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 xml:space="preserve"> de capital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3DBE30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5A0A056" w14:textId="20CF3980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15859E8" wp14:editId="3432ED88">
            <wp:extent cx="5343525" cy="5905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3F09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9A09EA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RiskPosition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).</w:t>
      </w:r>
    </w:p>
    <w:p w14:paraId="71F42EE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FB969BB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14</w:t>
      </w:r>
    </w:p>
    <w:p w14:paraId="4719FBC8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4ADD011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66–68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B80D77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8D66B23" w14:textId="0D296CBA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57DE8EF" wp14:editId="2AB56D28">
            <wp:extent cx="2809875" cy="5810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8EA1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0986B8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Товар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2624D0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59.5.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61-64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20329CE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Marfă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95.</w:t>
      </w:r>
    </w:p>
    <w:p w14:paraId="50B91D3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95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лежащий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одинаковую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природу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8A2604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93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существенно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базисному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характер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93,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широкие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характеристики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простая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природа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лежащего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ситуации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производными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отнесены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характеристики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855795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21BB7E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C6AB11F" w14:textId="6DC9A700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A5DCF85" wp14:editId="744DF555">
            <wp:extent cx="5940425" cy="791210"/>
            <wp:effectExtent l="0" t="0" r="3175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9BF7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AD208F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Marfă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j;</w:t>
      </w:r>
    </w:p>
    <w:p w14:paraId="76AF17C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єj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77;</w:t>
      </w:r>
    </w:p>
    <w:p w14:paraId="362F95D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ρТовар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корреляции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40 %;</w:t>
      </w:r>
    </w:p>
    <w:p w14:paraId="5A9438A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93; и</w:t>
      </w:r>
    </w:p>
    <w:p w14:paraId="034DB5C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Tip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96.</w:t>
      </w:r>
    </w:p>
    <w:p w14:paraId="5742A69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2FD19B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2D14B5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2432C3B" w14:textId="05AD2C33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2BEF1216" wp14:editId="7768AC76">
            <wp:extent cx="3343275" cy="4286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4AA0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BFC8DA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Tip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k;</w:t>
      </w:r>
    </w:p>
    <w:p w14:paraId="22D37D8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Marfă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59.5.,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электроэнергией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Marfă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18%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электроэнергией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Marfă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 40%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2683D56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EffNot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Marfă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k,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A9E81B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DE35D9E" w14:textId="3E42423B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0D9597A2" wp14:editId="5CEAFEEA">
            <wp:extent cx="4152900" cy="533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B2DD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46AA13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l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RiskPosition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).</w:t>
      </w:r>
    </w:p>
    <w:p w14:paraId="59B6B9F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208A7B9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15</w:t>
      </w:r>
    </w:p>
    <w:p w14:paraId="3117352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категорией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риски</w:t>
      </w:r>
      <w:proofErr w:type="spellEnd"/>
    </w:p>
    <w:p w14:paraId="625E136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66–68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заданного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E1BE74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F8589B5" w14:textId="332DC7B1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lastRenderedPageBreak/>
        <w:drawing>
          <wp:inline distT="0" distB="0" distL="0" distR="0" wp14:anchorId="3EE6D9D3" wp14:editId="55DDA5C8">
            <wp:extent cx="2838450" cy="581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0AD9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2101C3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Altele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F18850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59.6.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61-64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1AB496B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Altele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98.</w:t>
      </w:r>
    </w:p>
    <w:p w14:paraId="1D05D7D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436679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631CC53" w14:textId="068FDE15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93F416E" wp14:editId="4D09A871">
            <wp:extent cx="3695700" cy="400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8614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8387B1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Altele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j;</w:t>
      </w:r>
    </w:p>
    <w:p w14:paraId="69D7183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єj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фактора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77; и</w:t>
      </w:r>
    </w:p>
    <w:p w14:paraId="7BC7ECC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Altele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8%;</w:t>
      </w:r>
    </w:p>
    <w:p w14:paraId="3FD3C4D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EffNot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Altele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j,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A32720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C4E1452" w14:textId="3C8C221D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ABDE144" wp14:editId="73A92F65">
            <wp:extent cx="4810125" cy="571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5F1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742ABE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RiskPosition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).</w:t>
      </w:r>
    </w:p>
    <w:p w14:paraId="73C99FB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90252A2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IV</w:t>
      </w:r>
    </w:p>
    <w:p w14:paraId="0928C83A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УПРОЩЕННЫЙ СТАНДАРТИЗИРОВАННЫЙ ПОДХОД</w:t>
      </w:r>
    </w:p>
    <w:p w14:paraId="7C961576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 ОЦЕНКЕ КРЕДИТНОГО РИСКА КОНТРАГЕНТА</w:t>
      </w:r>
    </w:p>
    <w:p w14:paraId="24C2392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99.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100.</w:t>
      </w:r>
    </w:p>
    <w:p w14:paraId="4A16FBD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EC9025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45-47;</w:t>
      </w:r>
    </w:p>
    <w:p w14:paraId="306B67C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100.2.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49,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379CCC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2B10B8A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RC =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max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{ CMV, 0 }</w:t>
      </w:r>
    </w:p>
    <w:p w14:paraId="2D14778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53AAAC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RC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36B625E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CMV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4D8DCB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100.3.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торгуются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бирже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централизованно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уполномоченным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союзе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третьей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стране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осуществляется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двусторонний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E9760F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06FEECC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RC = TH + MTA</w:t>
      </w:r>
    </w:p>
    <w:p w14:paraId="4128E6B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928F0A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RC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2A5D4A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TH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пороговое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7EDC8A5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MTA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минимальная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перевода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DB362B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100.4.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51,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подпадали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5DE510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100.5.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59 и 60;</w:t>
      </w:r>
    </w:p>
    <w:p w14:paraId="0CD872C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100.6.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множитель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66,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6B9382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AAD1367" w14:textId="27C8A23C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7177D267" wp14:editId="6966CCB8">
            <wp:extent cx="1990725" cy="561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E365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E06FB2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PFE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4CDEABD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(a)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"a";</w:t>
      </w:r>
    </w:p>
    <w:p w14:paraId="15731D5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100.7.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регулируемую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дельту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C38677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AE64588" w14:textId="7F2F3A7F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CCFBE6B" wp14:editId="2DFDDDB5">
            <wp:extent cx="5940425" cy="547370"/>
            <wp:effectExtent l="0" t="0" r="317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62B4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AB7177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100.8.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72.1.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регулируемого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продолжительности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D0BED7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DA117B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регулируемый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продолжительности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=E – S</w:t>
      </w:r>
    </w:p>
    <w:p w14:paraId="18169CA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6843A6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09C0B6A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12B80C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100.9.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75,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CF82BE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100.9.1.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49, MF = 1;</w:t>
      </w:r>
    </w:p>
    <w:p w14:paraId="17B9466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100.9.2.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50 и 51, MF = 0,42;</w:t>
      </w:r>
    </w:p>
    <w:p w14:paraId="39CF0FE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100.10.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"j",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7A1B7A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20F7E59" w14:textId="15610118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8C8D23B" wp14:editId="7469AEBA">
            <wp:extent cx="3152775" cy="390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EFFC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856B72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EffNot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IR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"j"; и</w:t>
      </w:r>
    </w:p>
    <w:p w14:paraId="11BE234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Dj,k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эффективная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"k"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"j";</w:t>
      </w:r>
    </w:p>
    <w:p w14:paraId="465CEE4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100.11.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85,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"j",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62EFC0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3887723" w14:textId="18E2CF49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7B360695" wp14:editId="294360BC">
            <wp:extent cx="3562350" cy="51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F294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8F0093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Credit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"j";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Entitate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"k";</w:t>
      </w:r>
    </w:p>
    <w:p w14:paraId="5B9DB30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100.12.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"j",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BEA1B0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F1B2B83" w14:textId="3D5585B1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62A78A92" wp14:editId="07C22015">
            <wp:extent cx="3981450" cy="542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1303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B843A2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Titluri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 xml:space="preserve"> de capital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"j"; и</w:t>
      </w:r>
    </w:p>
    <w:p w14:paraId="0AB7A12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Entitate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"k";</w:t>
      </w:r>
    </w:p>
    <w:p w14:paraId="41AEBCE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100.13.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95,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"j",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7927C7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9BD5C5B" w14:textId="5F7F10DC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07BFA66" wp14:editId="60F2D916">
            <wp:extent cx="29241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D16A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FABE25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017B27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Marfă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"j"; и</w:t>
      </w:r>
    </w:p>
    <w:p w14:paraId="182697B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AddOn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(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Tip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j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k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)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надбавка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референтным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"k".</w:t>
      </w:r>
    </w:p>
    <w:p w14:paraId="1B96ED1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812929B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V</w:t>
      </w:r>
    </w:p>
    <w:p w14:paraId="4B8EF277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МЕТОД ПЕРВОНАЧАЛЬНОЙ ПОДВЕРЖЕННОСТИ</w:t>
      </w:r>
    </w:p>
    <w:p w14:paraId="45F894E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39 и 40.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C74207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1,4.</w:t>
      </w:r>
    </w:p>
    <w:p w14:paraId="3E0DDC2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4C2BDA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103.1.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торгуются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бирже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централизованно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уполномоченным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союзе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третьей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стране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двусторонний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обмен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DF3479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690EA9CC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RC = TH + MTA</w:t>
      </w:r>
    </w:p>
    <w:p w14:paraId="7294E28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4C44D8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RC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9E0370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TH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пороговое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79ACA7D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MTA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минимальная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перевода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FB0C7B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103.2.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BE9954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B0FFB96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RC =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max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{CMV, 0}</w:t>
      </w:r>
    </w:p>
    <w:p w14:paraId="2F33980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95B81E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RC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7694754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CMV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865161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обновляют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текущую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месяц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90E3C3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228D01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104.1.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104.2.;</w:t>
      </w:r>
    </w:p>
    <w:p w14:paraId="02C4C2F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104.2.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178AD8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104.2.1.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0,5%;</w:t>
      </w:r>
    </w:p>
    <w:p w14:paraId="1DA5596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104.2.2.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выраженный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6 %;</w:t>
      </w:r>
    </w:p>
    <w:p w14:paraId="6B62A01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104.2.3. 4%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валютный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курс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1A4D25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104.2.4. 18%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золото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деривативы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электроэнергию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B257BB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104.2.5. 40%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электроэнергию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807F2D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104.2.6. 32%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3FC40E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104.3.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104.2.,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73 и 74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перечисленных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104.2.3. – 104.2.6.,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72.2. и 72.3.;</w:t>
      </w:r>
    </w:p>
    <w:p w14:paraId="7F51CD9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104.4.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103,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103.1.,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0,42.</w:t>
      </w:r>
    </w:p>
    <w:p w14:paraId="0049934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деривативов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деривативов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104,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104.2.1. и 104.2.2.,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первоначальный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вместо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1A471F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CB4389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VI</w:t>
      </w:r>
    </w:p>
    <w:p w14:paraId="68ECD63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ДОГОВОРНАЯ КОМПЕНСАЦИЯ</w:t>
      </w:r>
    </w:p>
    <w:p w14:paraId="60E4085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72139E4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40B6A776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Признание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договорной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риска</w:t>
      </w:r>
      <w:proofErr w:type="spellEnd"/>
    </w:p>
    <w:p w14:paraId="3A43263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106.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типы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снижающие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117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108–111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112–116:</w:t>
      </w:r>
    </w:p>
    <w:p w14:paraId="3D1E0FB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106.1.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двусторонние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новации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автоматически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объединяются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новация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заменяющий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предыдущие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сторонами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вытекающие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являющийся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сторон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454D52A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106.2.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двусторонние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106.1.)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26941A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Взаимозачет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осуществляемых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лицами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B07EA0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9AAB469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04D8091F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Признание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соглашений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</w:p>
    <w:p w14:paraId="6EE2B01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 и 110,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111.</w:t>
      </w:r>
    </w:p>
    <w:p w14:paraId="098A6DA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109.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размера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E9D468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109.1.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заключил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создает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охватывающее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выплатить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положительных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отрицательных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2A899D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109.2.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располагает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письменными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обоснованными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заключениями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указывается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оспаривания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превысят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заключение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законодательству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6922A84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109.2.1.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юрисдикции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зарегистрирован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19F214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109.2.2.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речь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идет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находится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стране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отличной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зарегистрирован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юрисдикции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находится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0CBBCE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109.2.3.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юрисдикции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законодательство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231B320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109.2.4.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юрисдикции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законодательство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55BFCC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109.3.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суммируется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единого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суммирование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лимита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4FD64C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109.4.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содержится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позволяют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находящемуся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лишь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ограниченные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никаких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нарушившему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нетто-кредитором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80F050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процесса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удовлетворительных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доказательств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удостоверится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действительным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исполнению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юрисдикций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109.2.,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снижающим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3417B6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заключения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109.2.,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подготовлены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неттинга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продуктами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дополнительным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227A9F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109.1,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положительных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отрицательных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индивидуального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двустороннего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положительных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отрицательных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индивидуальных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("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продуктов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");</w:t>
      </w:r>
    </w:p>
    <w:p w14:paraId="16AFF4C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111.2.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заключения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действительности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силы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продуктами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влияния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двустороннего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рамочного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74EF2F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ACB4100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5289660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последствия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признания</w:t>
      </w:r>
      <w:proofErr w:type="spellEnd"/>
    </w:p>
    <w:p w14:paraId="7C1D04B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способа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рисков</w:t>
      </w:r>
      <w:proofErr w:type="spellEnd"/>
    </w:p>
    <w:p w14:paraId="004BEF2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поддерживает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обеспечивающие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действительности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силы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законодательство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юрисдикций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109.2.</w:t>
      </w:r>
    </w:p>
    <w:p w14:paraId="7C23587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хранит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архивах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касающиеся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305427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исходя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измерения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BD2CB4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продуктами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106,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поддерживать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выдано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заключение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109.2.</w:t>
      </w:r>
    </w:p>
    <w:p w14:paraId="50CD681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продолжает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различными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продуктами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двустороннего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отдельного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двустороннего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рамочного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31F198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III–V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B22AAA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BF9B07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VII</w:t>
      </w:r>
    </w:p>
    <w:p w14:paraId="44F2CED8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ЭЛЕМЕНТЫ ТОРГОВОГО ПОРТФЕЛЯ</w:t>
      </w:r>
    </w:p>
    <w:p w14:paraId="31F60E9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правила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описанные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119–124.</w:t>
      </w:r>
    </w:p>
    <w:p w14:paraId="479B3DD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119.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последствий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простой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VIII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112/2018.</w:t>
      </w:r>
    </w:p>
    <w:p w14:paraId="29A0C37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выкупа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дачи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приемлемого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7777BF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внебиржевыми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деривативами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отраженными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DDB23A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берутся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покупаются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VIII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вышеупомянутого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регулируемых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корректировках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волатильности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долевые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котирующиеся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бирже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AF443C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охватывающих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РЕПО,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дачи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скорректированные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взаимозачетные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отвечают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7D89E9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123.1.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ежедневно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переоцениваются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C486E9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123.2.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взятые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купленные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ходе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25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120-122.</w:t>
      </w:r>
    </w:p>
    <w:p w14:paraId="61C7034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дериватив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AD66B2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124.1.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никакого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ED98A4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124.2.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последовательно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деривативы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внутреннего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приобретаются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защиты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приемлемой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112/2018.</w:t>
      </w:r>
    </w:p>
    <w:p w14:paraId="7A9A170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472A74A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VIII</w:t>
      </w:r>
    </w:p>
    <w:p w14:paraId="3D886E77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ТРЕБОВАНИЯ К СОБСТВЕННЫМ СРЕДСТВАМ ДЛЯ ПОДВЕРЖЕННОСТЕЙ</w:t>
      </w:r>
    </w:p>
    <w:p w14:paraId="3602A7FE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ПЕРЕД ЦЕНТРАЛЬНЫМ КОНТРАГЕНТОМ</w:t>
      </w:r>
    </w:p>
    <w:p w14:paraId="1EF3902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0EE93BF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1</w:t>
      </w:r>
    </w:p>
    <w:p w14:paraId="5BA6BCDC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Область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</w:p>
    <w:p w14:paraId="26A81FC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CPC:</w:t>
      </w:r>
    </w:p>
    <w:p w14:paraId="1AD83B7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125.1.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перечисленные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114/2018,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46ED93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125.2.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дачи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5B90E72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125.3.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долгосрочным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100B5E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наличным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поставки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115/2018,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0%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покрывающих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149,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покрывающим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виды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114/2018,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помимо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наличных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34E7C7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509A12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127.1.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совместном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распределении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D77E00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127.2.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начальная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сверх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минимальной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воспрепятствовать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действующему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снятии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избыточного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ADA79B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127.3.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первоначальную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объединения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членов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членов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первоначальную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A7BF6B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0B380FF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2</w:t>
      </w:r>
    </w:p>
    <w:p w14:paraId="3168A648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Мониторинг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CPC</w:t>
      </w:r>
    </w:p>
    <w:p w14:paraId="16BFE48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осуществлять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мониторинг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регулярного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органу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специализированным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AAE2C9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129.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помощью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анализа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сценариев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стресс-тестов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удерживаемых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потенциальные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будущие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выступает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132-139,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адекватным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присущим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6F15CC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480C915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6BAF0A76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Учет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CPC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клиринговых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участников</w:t>
      </w:r>
      <w:proofErr w:type="spellEnd"/>
    </w:p>
    <w:p w14:paraId="353136E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посредника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C14BE7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130.1.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145–148,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CPC;</w:t>
      </w:r>
    </w:p>
    <w:p w14:paraId="02DCE1E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130.2.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149,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CPC.</w:t>
      </w:r>
    </w:p>
    <w:p w14:paraId="6ED35DF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CPCС,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подпадать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ограничение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применялись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неквалифицированным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CPC.</w:t>
      </w:r>
    </w:p>
    <w:p w14:paraId="3DC8C10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9A1CA23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4</w:t>
      </w:r>
    </w:p>
    <w:p w14:paraId="2ED47B14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клиринговых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участников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у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</w:p>
    <w:p w14:paraId="28828A5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выступающий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посредника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 – VII,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103/2020,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302819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заключает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способствует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передаче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приводит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возникновению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присвоить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нулевую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232C1C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7041623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134.1.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продолжительностью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пяти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76186D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134.2.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CPC;</w:t>
      </w:r>
    </w:p>
    <w:p w14:paraId="137DB83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134.3.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включенный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134.1.,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вправе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учитывать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лимит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134.2.,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содержит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оспариваемых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экзотических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9103FD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134.4.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удерживает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вариационную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защищено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неплатежеспособности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меньшему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остаточного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пороговым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10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F6CECB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100.9.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IV,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0,21.</w:t>
      </w:r>
    </w:p>
    <w:p w14:paraId="70C3419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104,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114.4.,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0,21.</w:t>
      </w:r>
    </w:p>
    <w:p w14:paraId="0DB80E6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выступающий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уменьшенную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невозврата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полученную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134–136,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CVA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103/2020.</w:t>
      </w:r>
    </w:p>
    <w:p w14:paraId="690D697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выступающий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уменьшить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CPC.</w:t>
      </w:r>
    </w:p>
    <w:p w14:paraId="4293270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139.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многоуровневой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клиентской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138,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24E52D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1CC4377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5</w:t>
      </w:r>
    </w:p>
    <w:p w14:paraId="04450BC5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</w:p>
    <w:p w14:paraId="67E1286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являющийся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I-VII,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103/2020,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3D70AB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140,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145–148,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совокупности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2BC2395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 xml:space="preserve">141.1.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рассматриваемыми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разграничиваются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обособляются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разграничения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обособления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становятся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недоступными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неплатежеспособности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51F717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141.2.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законодательство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способствуют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переводу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рассматриваемыми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применимого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маржинального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невозврата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неплатежеспособности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первоначального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ситуации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передаются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24FA88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141.3.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провел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поддерживает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достаточно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тщательный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анализ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демонстрирует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договоренности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посредством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141.2.,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действительными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юридически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обязывающими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подлежащими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исполнению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юрисдикции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юрисдикций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35024BBE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141.4.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CPCС.</w:t>
      </w:r>
    </w:p>
    <w:p w14:paraId="3420910A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оценке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принять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внимание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прецедент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передачи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клиентских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намерение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стороны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отрасли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продолжать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практику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068FE6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 и 142,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банк-клиент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изложенное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141.1.,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поскольку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защищен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совместного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прочих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141.1.-141.4.,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торговых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145-148,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2%-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145.1.,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4%-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6F3AF9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многоуровневой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клиентской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являющийся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низшего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получающий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доступ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услугам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высокого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упомянутый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141–143,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выполняются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рассматриваемой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DA44AB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2D20E10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6</w:t>
      </w:r>
    </w:p>
    <w:p w14:paraId="2F726AA2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</w:p>
    <w:p w14:paraId="5371952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CPC</w:t>
      </w:r>
    </w:p>
    <w:p w14:paraId="4772E96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CPC:</w:t>
      </w:r>
    </w:p>
    <w:p w14:paraId="1E7018A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145.1.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2%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CPCС;</w:t>
      </w:r>
    </w:p>
    <w:p w14:paraId="4D6DFC5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145.2.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установленном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111/2018,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неквалифицированными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CPC;</w:t>
      </w:r>
    </w:p>
    <w:p w14:paraId="0F77126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145.3.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выступает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посредника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CPC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предусматривают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возмещать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какие-либо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возникшие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такой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размер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нулю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660A40C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145.4.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выступает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посредника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CPC, а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предусматривают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возместить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возникшие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145.2.,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возникшей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CPC.</w:t>
      </w:r>
    </w:p>
    <w:p w14:paraId="3264DF9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недоступны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неплатежеспособности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присвоить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нулевую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2E1E1D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I-VII,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112/2018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103/2020,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EA1F45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148.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109/2018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146 и 147,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определенный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145.</w:t>
      </w:r>
    </w:p>
    <w:p w14:paraId="76274B0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149.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CPC:</w:t>
      </w:r>
    </w:p>
    <w:p w14:paraId="5C771A5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149.1.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обеспеченных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150–152;</w:t>
      </w:r>
    </w:p>
    <w:p w14:paraId="6039AB8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149.2.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финансируемых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нефинансируемых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неквалифицированного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153 и 154;</w:t>
      </w:r>
    </w:p>
    <w:p w14:paraId="1F756D6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149.3.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нефинансируемых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неквалифицированного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155.</w:t>
      </w:r>
    </w:p>
    <w:p w14:paraId="76F2AD5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6F16AF4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7</w:t>
      </w:r>
    </w:p>
    <w:p w14:paraId="06A0E5E4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</w:p>
    <w:p w14:paraId="65A007BC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CPCС</w:t>
      </w:r>
    </w:p>
    <w:p w14:paraId="4755A21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150.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финансируемому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DFi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уплаченную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рыночную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уже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использовал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вызванных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вступлением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невозврата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несколькими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B37602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151.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потребность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670D3A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174371C" w14:textId="7F12F7D0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F420275" wp14:editId="6CCC923C">
            <wp:extent cx="3990975" cy="50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302A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13A174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i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C9B479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i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обозначающий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0C158AE7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CCP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гипотетический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капитал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CPCС,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сообщенный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CPCС;</w:t>
      </w:r>
    </w:p>
    <w:p w14:paraId="317E71B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DF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i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5ADE7E3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DF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CCP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выделенные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финансовые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ресурсы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CPC,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уведомил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 и</w:t>
      </w:r>
    </w:p>
    <w:p w14:paraId="249C9E9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DF</w:t>
      </w: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ro-MD"/>
          <w14:ligatures w14:val="none"/>
        </w:rPr>
        <w:t>CM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клиринговых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участников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уведомленная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77C801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152.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CPCС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109/2018,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151.</w:t>
      </w:r>
    </w:p>
    <w:p w14:paraId="6E4BA50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7073591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8</w:t>
      </w:r>
    </w:p>
    <w:p w14:paraId="1A9ED9B7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</w:p>
    <w:p w14:paraId="5B12F362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в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неквалифицированного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CPC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финансированных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</w:t>
      </w:r>
    </w:p>
    <w:p w14:paraId="010FCF65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неквалифицированного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CPC и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</w:p>
    <w:p w14:paraId="56941288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нефинансированных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CPCС</w:t>
      </w:r>
    </w:p>
    <w:p w14:paraId="0997D822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153.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следующую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формулу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финансированных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неквалифицированного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и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нефинансированных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CPC:</w:t>
      </w:r>
    </w:p>
    <w:p w14:paraId="214B3E6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EA6F6FF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K = DF + UC</w:t>
      </w:r>
    </w:p>
    <w:p w14:paraId="465E8A3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3E8A02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K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7E54683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DF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финансируемые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неквалифицированного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CPC; и</w:t>
      </w:r>
    </w:p>
    <w:p w14:paraId="072E9F03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UC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нефинансируемые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неквалифицированного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CPC.</w:t>
      </w:r>
    </w:p>
    <w:p w14:paraId="2296DCFB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154.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взвешенные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уровню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возникающих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неквалифицированного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109/2018,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рассчитанного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153.</w:t>
      </w:r>
    </w:p>
    <w:p w14:paraId="10A84714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155.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0%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нефинансируемым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CPCС.</w:t>
      </w:r>
    </w:p>
    <w:p w14:paraId="22BB7F18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E07715F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9</w:t>
      </w:r>
    </w:p>
    <w:p w14:paraId="4E94FF16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собственным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CPC,</w:t>
      </w:r>
    </w:p>
    <w:p w14:paraId="450AC3F6" w14:textId="77777777" w:rsidR="008E44E5" w:rsidRPr="008E44E5" w:rsidRDefault="008E44E5" w:rsidP="008E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перестают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соответствовать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определенным</w:t>
      </w:r>
      <w:proofErr w:type="spellEnd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</w:p>
    <w:p w14:paraId="490C8D7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156.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стало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известно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объявления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используемом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соответствовать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авторизации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признания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19B9A39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157.</w:t>
      </w: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выполнении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156,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трех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момента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стало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известно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ситуации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короткого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сообщенного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предпринять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9783295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157.1.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145.2.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CPC;</w:t>
      </w:r>
    </w:p>
    <w:p w14:paraId="2339489C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 xml:space="preserve">157.2.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применить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153 и 154, к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предварительно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финансируемым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 и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нефинансируемым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взносам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CPC;</w:t>
      </w:r>
    </w:p>
    <w:p w14:paraId="67A35CBD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157.3.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рассматривать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свои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CPC,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перечисленных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157.1. и 157.2.,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общества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стандартизированным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подходом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111/2018.</w:t>
      </w:r>
    </w:p>
    <w:p w14:paraId="0129B739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2DB0343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7637B08F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4FCE844B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24132E50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B9D6989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79536322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4FA3AE9B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424F9B6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CB4E0CB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B184AAC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C708B87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20B3C4EE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4B5AEAFF" w14:textId="77777777" w:rsid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FFBE651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866C326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48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6"/>
      </w:tblGrid>
      <w:tr w:rsidR="008E44E5" w:rsidRPr="008E44E5" w14:paraId="5FE207FC" w14:textId="77777777" w:rsidTr="008E44E5">
        <w:trPr>
          <w:trHeight w:val="8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9608C" w14:textId="77777777" w:rsidR="008E44E5" w:rsidRPr="008E44E5" w:rsidRDefault="008E44E5" w:rsidP="008E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Приложение</w:t>
            </w:r>
            <w:proofErr w:type="spellEnd"/>
          </w:p>
          <w:p w14:paraId="54D9B4B3" w14:textId="77777777" w:rsidR="008E44E5" w:rsidRPr="008E44E5" w:rsidRDefault="008E44E5" w:rsidP="008E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к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Регламенту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о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кредитному</w:t>
            </w:r>
            <w:proofErr w:type="spellEnd"/>
          </w:p>
          <w:p w14:paraId="3EF608B3" w14:textId="77777777" w:rsidR="008E44E5" w:rsidRPr="008E44E5" w:rsidRDefault="008E44E5" w:rsidP="008E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</w:p>
          <w:p w14:paraId="7FB8946A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67229B18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ПЕРЕЧЕНЬ ДОКУМЕНТОВ,</w:t>
            </w:r>
          </w:p>
          <w:p w14:paraId="35A4D9D6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прилагаемых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заявлению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предварительное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разрешение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</w:p>
          <w:p w14:paraId="1045B2B9" w14:textId="77777777" w:rsidR="008E44E5" w:rsidRPr="008E44E5" w:rsidRDefault="008E44E5" w:rsidP="008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применения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методов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расчета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величины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подверженности</w:t>
            </w:r>
            <w:proofErr w:type="spellEnd"/>
          </w:p>
          <w:p w14:paraId="5CE61DB9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030F3D18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1.</w:t>
            </w: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Документ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подписанный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уполномоченным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лицом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в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котором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:</w:t>
            </w:r>
          </w:p>
          <w:p w14:paraId="7AA770FF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1.1.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описывается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процесс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применения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метода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расчета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величины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подверженности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представляются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его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выводы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подтверждающие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соблюдение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специальных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24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или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35,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применению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выбранного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метода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;</w:t>
            </w:r>
          </w:p>
          <w:p w14:paraId="04A6D816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1.2.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сообщается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структура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группы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к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которой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принадлежит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компетентные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органы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осуществляющие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надзор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ее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членами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а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также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используемый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ими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метод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расчета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- в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случаях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24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или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35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настоящего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  <w:p w14:paraId="0FBC6856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2.</w:t>
            </w: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Отчет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внутреннего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аудита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в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котором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оценивается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адекватность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системы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управления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кредитным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риском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процесс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применения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метода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расчета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стоимости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подверженности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целью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соблюдения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конкретных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изложенных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24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или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35.</w:t>
            </w:r>
          </w:p>
          <w:p w14:paraId="49FB6264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3.</w:t>
            </w: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Документы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устанавливающие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процедуры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призванные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обеспечить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соблюдение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глав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III-V.</w:t>
            </w:r>
          </w:p>
          <w:p w14:paraId="4BFA642E" w14:textId="77777777" w:rsidR="008E44E5" w:rsidRPr="008E44E5" w:rsidRDefault="008E44E5" w:rsidP="008E44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8E44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4.</w:t>
            </w:r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Формы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34.00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кредитному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предусмотренные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Инструкцией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о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порядке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представления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банками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отчетов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СОREP в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целях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надзора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сопровождаемые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изложением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способа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определения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соответствующих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показателей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направлениям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деятельности</w:t>
            </w:r>
            <w:proofErr w:type="spellEnd"/>
            <w:r w:rsidRPr="008E44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</w:tbl>
    <w:p w14:paraId="7D592F20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171E3FF" w14:textId="77777777" w:rsidR="008E44E5" w:rsidRPr="008E44E5" w:rsidRDefault="008E44E5" w:rsidP="008E4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8E44E5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5874F88" w14:textId="77777777" w:rsidR="008A5ED9" w:rsidRPr="008E44E5" w:rsidRDefault="008A5ED9">
      <w:pPr>
        <w:rPr>
          <w:rFonts w:ascii="Times New Roman" w:hAnsi="Times New Roman" w:cs="Times New Roman"/>
          <w:sz w:val="24"/>
          <w:szCs w:val="24"/>
        </w:rPr>
      </w:pPr>
    </w:p>
    <w:sectPr w:rsidR="008A5ED9" w:rsidRPr="008E44E5">
      <w:footerReference w:type="defaul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8BB3" w14:textId="77777777" w:rsidR="008E44E5" w:rsidRDefault="008E44E5" w:rsidP="008E44E5">
      <w:pPr>
        <w:spacing w:after="0" w:line="240" w:lineRule="auto"/>
      </w:pPr>
      <w:r>
        <w:separator/>
      </w:r>
    </w:p>
  </w:endnote>
  <w:endnote w:type="continuationSeparator" w:id="0">
    <w:p w14:paraId="3A0221AF" w14:textId="77777777" w:rsidR="008E44E5" w:rsidRDefault="008E44E5" w:rsidP="008E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008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1E90FA6" w14:textId="5BC742EE" w:rsidR="008E44E5" w:rsidRPr="008E44E5" w:rsidRDefault="008E44E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E4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44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4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44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44E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F0A0C2E" w14:textId="77777777" w:rsidR="008E44E5" w:rsidRDefault="008E4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D714" w14:textId="77777777" w:rsidR="008E44E5" w:rsidRDefault="008E44E5" w:rsidP="008E44E5">
      <w:pPr>
        <w:spacing w:after="0" w:line="240" w:lineRule="auto"/>
      </w:pPr>
      <w:r>
        <w:separator/>
      </w:r>
    </w:p>
  </w:footnote>
  <w:footnote w:type="continuationSeparator" w:id="0">
    <w:p w14:paraId="1F1937BE" w14:textId="77777777" w:rsidR="008E44E5" w:rsidRDefault="008E44E5" w:rsidP="008E4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E5"/>
    <w:rsid w:val="008A5ED9"/>
    <w:rsid w:val="008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0442"/>
  <w15:chartTrackingRefBased/>
  <w15:docId w15:val="{C65F8FDE-FB80-4E6C-A730-5E6C8D0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8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8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8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8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8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8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8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4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4E5"/>
  </w:style>
  <w:style w:type="paragraph" w:styleId="Footer">
    <w:name w:val="footer"/>
    <w:basedOn w:val="Normal"/>
    <w:link w:val="FooterChar"/>
    <w:uiPriority w:val="99"/>
    <w:unhideWhenUsed/>
    <w:rsid w:val="008E4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4.gif" Type="http://schemas.openxmlformats.org/officeDocument/2006/relationships/image"/><Relationship Id="rId11" Target="media/image5.gif" Type="http://schemas.openxmlformats.org/officeDocument/2006/relationships/image"/><Relationship Id="rId12" Target="media/image6.gif" Type="http://schemas.openxmlformats.org/officeDocument/2006/relationships/image"/><Relationship Id="rId13" Target="media/image7.gif" Type="http://schemas.openxmlformats.org/officeDocument/2006/relationships/image"/><Relationship Id="rId14" Target="media/image8.gif" Type="http://schemas.openxmlformats.org/officeDocument/2006/relationships/image"/><Relationship Id="rId15" Target="media/image9.gif" Type="http://schemas.openxmlformats.org/officeDocument/2006/relationships/image"/><Relationship Id="rId16" Target="media/image10.gif" Type="http://schemas.openxmlformats.org/officeDocument/2006/relationships/image"/><Relationship Id="rId17" Target="media/image11.gif" Type="http://schemas.openxmlformats.org/officeDocument/2006/relationships/image"/><Relationship Id="rId18" Target="media/image12.gif" Type="http://schemas.openxmlformats.org/officeDocument/2006/relationships/image"/><Relationship Id="rId19" Target="media/image13.gif" Type="http://schemas.openxmlformats.org/officeDocument/2006/relationships/image"/><Relationship Id="rId2" Target="styles.xml" Type="http://schemas.openxmlformats.org/officeDocument/2006/relationships/styles"/><Relationship Id="rId20" Target="media/image14.gif" Type="http://schemas.openxmlformats.org/officeDocument/2006/relationships/image"/><Relationship Id="rId21" Target="media/image15.gif" Type="http://schemas.openxmlformats.org/officeDocument/2006/relationships/image"/><Relationship Id="rId22" Target="media/image16.gif" Type="http://schemas.openxmlformats.org/officeDocument/2006/relationships/image"/><Relationship Id="rId23" Target="media/image17.gif" Type="http://schemas.openxmlformats.org/officeDocument/2006/relationships/image"/><Relationship Id="rId24" Target="media/image18.gif" Type="http://schemas.openxmlformats.org/officeDocument/2006/relationships/image"/><Relationship Id="rId25" Target="media/image19.gif" Type="http://schemas.openxmlformats.org/officeDocument/2006/relationships/image"/><Relationship Id="rId26" Target="media/image20.gif" Type="http://schemas.openxmlformats.org/officeDocument/2006/relationships/image"/><Relationship Id="rId27" Target="media/image21.gif" Type="http://schemas.openxmlformats.org/officeDocument/2006/relationships/image"/><Relationship Id="rId28" Target="media/image22.gif" Type="http://schemas.openxmlformats.org/officeDocument/2006/relationships/image"/><Relationship Id="rId29" Target="media/image23.gif" Type="http://schemas.openxmlformats.org/officeDocument/2006/relationships/image"/><Relationship Id="rId3" Target="settings.xml" Type="http://schemas.openxmlformats.org/officeDocument/2006/relationships/settings"/><Relationship Id="rId30" Target="media/image24.gif" Type="http://schemas.openxmlformats.org/officeDocument/2006/relationships/image"/><Relationship Id="rId31" Target="media/image25.gif" Type="http://schemas.openxmlformats.org/officeDocument/2006/relationships/image"/><Relationship Id="rId32" Target="media/image26.gif" Type="http://schemas.openxmlformats.org/officeDocument/2006/relationships/image"/><Relationship Id="rId33" Target="media/image27.gif" Type="http://schemas.openxmlformats.org/officeDocument/2006/relationships/image"/><Relationship Id="rId34" Target="media/image28.gif" Type="http://schemas.openxmlformats.org/officeDocument/2006/relationships/image"/><Relationship Id="rId35" Target="media/image29.gif" Type="http://schemas.openxmlformats.org/officeDocument/2006/relationships/image"/><Relationship Id="rId36" Target="media/image30.gif" Type="http://schemas.openxmlformats.org/officeDocument/2006/relationships/image"/><Relationship Id="rId37" Target="media/image31.gif" Type="http://schemas.openxmlformats.org/officeDocument/2006/relationships/image"/><Relationship Id="rId38" Target="media/image32.gif" Type="http://schemas.openxmlformats.org/officeDocument/2006/relationships/image"/><Relationship Id="rId39" Target="media/image33.gif" Type="http://schemas.openxmlformats.org/officeDocument/2006/relationships/image"/><Relationship Id="rId4" Target="webSettings.xml" Type="http://schemas.openxmlformats.org/officeDocument/2006/relationships/webSettings"/><Relationship Id="rId40" Target="media/image34.gif" Type="http://schemas.openxmlformats.org/officeDocument/2006/relationships/image"/><Relationship Id="rId41" Target="media/image35.gif" Type="http://schemas.openxmlformats.org/officeDocument/2006/relationships/image"/><Relationship Id="rId42" Target="media/image36.gif" Type="http://schemas.openxmlformats.org/officeDocument/2006/relationships/image"/><Relationship Id="rId43" Target="media/image37.gif" Type="http://schemas.openxmlformats.org/officeDocument/2006/relationships/image"/><Relationship Id="rId44" Target="media/image38.gif" Type="http://schemas.openxmlformats.org/officeDocument/2006/relationships/image"/><Relationship Id="rId45" Target="media/image39.gif" Type="http://schemas.openxmlformats.org/officeDocument/2006/relationships/image"/><Relationship Id="rId46" Target="media/image40.gif" Type="http://schemas.openxmlformats.org/officeDocument/2006/relationships/image"/><Relationship Id="rId47" Target="footer1.xml" Type="http://schemas.openxmlformats.org/officeDocument/2006/relationships/footer"/><Relationship Id="rId48" Target="fontTable.xml" Type="http://schemas.openxmlformats.org/officeDocument/2006/relationships/fontTable"/><Relationship Id="rId49" Target="theme/theme1.xml" Type="http://schemas.openxmlformats.org/officeDocument/2006/relationships/theme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gif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65D6-E520-4EB3-B72A-0C1DD057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16119</Words>
  <Characters>93492</Characters>
  <Application>Microsoft Office Word</Application>
  <DocSecurity>0</DocSecurity>
  <Lines>779</Lines>
  <Paragraphs>218</Paragraphs>
  <ScaleCrop>false</ScaleCrop>
  <Company/>
  <LinksUpToDate>false</LinksUpToDate>
  <CharactersWithSpaces>109393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2025-10-17T06:51:00Z</dcterms:created>
  <dcterms:modified xsi:type="dcterms:W3CDTF">2025-10-17T06:55:00Z</dcterms:modified>
  <cp:revision>1</cp:revision>
</cp:coreProperties>
</file>