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87E9" w14:textId="07CBB95C" w:rsidR="00C30AE9" w:rsidRPr="00BC111A" w:rsidRDefault="00E71B8C" w:rsidP="00356730">
      <w:pPr>
        <w:pStyle w:val="ListParagraph"/>
        <w:jc w:val="center"/>
        <w:rPr>
          <w:rStyle w:val="docheader"/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bookmarkStart w:id="0" w:name="_Hlk162518652"/>
      <w:r w:rsidRPr="00BC111A">
        <w:rPr>
          <w:rStyle w:val="docheader"/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РЕГЛАМЕНТ</w:t>
      </w:r>
    </w:p>
    <w:p w14:paraId="6ED4258A" w14:textId="2BD76F63" w:rsidR="00E71B8C" w:rsidRDefault="00E71B8C" w:rsidP="00E71B8C">
      <w:pPr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</w:pP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об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аутсорсинге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функци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небанковскими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поставщиками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платежных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MD"/>
        </w:rPr>
        <w:t>услуг</w:t>
      </w:r>
      <w:proofErr w:type="spellEnd"/>
    </w:p>
    <w:p w14:paraId="56FA90CA" w14:textId="691DA84A" w:rsidR="00042AC2" w:rsidRPr="0040771F" w:rsidRDefault="00042AC2" w:rsidP="00042AC2">
      <w:pPr>
        <w:pStyle w:val="rtecenter"/>
        <w:spacing w:before="0" w:beforeAutospacing="0" w:after="0" w:afterAutospacing="0"/>
        <w:jc w:val="center"/>
        <w:rPr>
          <w:rFonts w:ascii="PermianSerifTypeface" w:hAnsi="PermianSerifTypeface"/>
          <w:color w:val="000000"/>
          <w:sz w:val="22"/>
          <w:szCs w:val="22"/>
          <w:lang w:val="ru-RU"/>
        </w:rPr>
      </w:pPr>
      <w:proofErr w:type="spellStart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>Опубликован</w:t>
      </w:r>
      <w:proofErr w:type="spellEnd"/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 xml:space="preserve"> в </w:t>
      </w:r>
      <w:r w:rsidR="0040771F" w:rsidRPr="004D5F46">
        <w:rPr>
          <w:rFonts w:ascii="PermianSerifTypeface" w:hAnsi="PermianSerifTypeface"/>
          <w:bCs/>
          <w:i/>
          <w:sz w:val="22"/>
          <w:szCs w:val="22"/>
          <w:lang w:val="ru-RU"/>
        </w:rPr>
        <w:t xml:space="preserve">Официальном мониторе Республики Молдова </w:t>
      </w:r>
      <w:r w:rsidRPr="00BD7571">
        <w:rPr>
          <w:rFonts w:ascii="PermianSerifTypeface" w:hAnsi="PermianSerifTypeface"/>
          <w:bCs/>
          <w:i/>
          <w:sz w:val="22"/>
          <w:szCs w:val="22"/>
          <w:lang w:val="ro-MD"/>
        </w:rPr>
        <w:t xml:space="preserve">№ </w:t>
      </w:r>
      <w:r w:rsidRPr="0040771F">
        <w:rPr>
          <w:rFonts w:ascii="PermianSerifTypeface" w:hAnsi="PermianSerifTypeface"/>
          <w:bCs/>
          <w:i/>
          <w:sz w:val="22"/>
          <w:szCs w:val="22"/>
          <w:lang w:val="ru-RU"/>
        </w:rPr>
        <w:t>62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-</w:t>
      </w:r>
      <w:r w:rsidRPr="0040771F">
        <w:rPr>
          <w:rStyle w:val="Emphasis"/>
          <w:rFonts w:ascii="PermianSerifTypeface" w:hAnsi="PermianSerifTypeface"/>
          <w:color w:val="000000"/>
          <w:sz w:val="22"/>
          <w:szCs w:val="22"/>
          <w:lang w:val="ru-RU"/>
        </w:rPr>
        <w:t>65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от</w:t>
      </w:r>
      <w:proofErr w:type="spellEnd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r w:rsidRPr="0040771F">
        <w:rPr>
          <w:rStyle w:val="Emphasis"/>
          <w:rFonts w:ascii="PermianSerifTypeface" w:hAnsi="PermianSerifTypeface"/>
          <w:color w:val="000000"/>
          <w:sz w:val="22"/>
          <w:szCs w:val="22"/>
          <w:lang w:val="ru-RU"/>
        </w:rPr>
        <w:t>2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0.</w:t>
      </w:r>
      <w:r w:rsidRPr="0040771F">
        <w:rPr>
          <w:rStyle w:val="Emphasis"/>
          <w:rFonts w:ascii="PermianSerifTypeface" w:hAnsi="PermianSerifTypeface"/>
          <w:color w:val="000000"/>
          <w:sz w:val="22"/>
          <w:szCs w:val="22"/>
          <w:lang w:val="ru-RU"/>
        </w:rPr>
        <w:t>02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.20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2</w:t>
      </w:r>
      <w:r w:rsidRPr="0040771F">
        <w:rPr>
          <w:rStyle w:val="Emphasis"/>
          <w:rFonts w:ascii="PermianSerifTypeface" w:hAnsi="PermianSerifTypeface"/>
          <w:color w:val="000000"/>
          <w:sz w:val="22"/>
          <w:szCs w:val="22"/>
          <w:lang w:val="ru-RU"/>
        </w:rPr>
        <w:t>5</w:t>
      </w:r>
      <w:r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,</w:t>
      </w:r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 </w:t>
      </w:r>
      <w:proofErr w:type="spellStart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>ст</w:t>
      </w:r>
      <w:proofErr w:type="spellEnd"/>
      <w:r w:rsidRPr="00303119">
        <w:rPr>
          <w:rStyle w:val="Emphasis"/>
          <w:rFonts w:ascii="PermianSerifTypeface" w:hAnsi="PermianSerifTypeface"/>
          <w:color w:val="000000"/>
          <w:sz w:val="22"/>
          <w:szCs w:val="22"/>
          <w:lang w:val="ro-MD"/>
        </w:rPr>
        <w:t xml:space="preserve">. </w:t>
      </w:r>
      <w:r w:rsidRPr="0040771F">
        <w:rPr>
          <w:rStyle w:val="Emphasis"/>
          <w:rFonts w:ascii="PermianSerifTypeface" w:hAnsi="PermianSerifTypeface"/>
          <w:color w:val="000000"/>
          <w:sz w:val="22"/>
          <w:szCs w:val="22"/>
          <w:lang w:val="ru-RU"/>
        </w:rPr>
        <w:t>130</w:t>
      </w:r>
    </w:p>
    <w:p w14:paraId="659166FB" w14:textId="77777777" w:rsidR="00042AC2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MD"/>
        </w:rPr>
      </w:pPr>
    </w:p>
    <w:p w14:paraId="334C116D" w14:textId="77777777" w:rsidR="00A94D70" w:rsidRPr="00772830" w:rsidRDefault="00A94D70" w:rsidP="00A94D70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</w:pP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Изменен:</w:t>
      </w:r>
    </w:p>
    <w:p w14:paraId="08455ACB" w14:textId="0820F3D2" w:rsidR="00A94D70" w:rsidRPr="00DB69DA" w:rsidRDefault="00A94D70" w:rsidP="00A94D70">
      <w:pP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</w:pP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MD"/>
        </w:rPr>
        <w:t xml:space="preserve">ПИК НБМ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229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02.10.2025, </w:t>
      </w:r>
      <w:r w:rsidR="0040771F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ОМ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РМ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 n</w:t>
      </w:r>
      <w:r w:rsidRPr="00772830">
        <w:rPr>
          <w:rFonts w:ascii="PT Serif" w:hAnsi="PT Serif"/>
          <w:i/>
          <w:iCs/>
          <w:color w:val="56534F"/>
          <w:shd w:val="clear" w:color="auto" w:fill="FAFAFA"/>
          <w:lang w:val="ru-RU"/>
        </w:rPr>
        <w:t xml:space="preserve"> 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>№</w:t>
      </w:r>
      <w:r w:rsidRPr="00772830">
        <w:rPr>
          <w:rFonts w:ascii="PermianSerifTypeface" w:hAnsi="PermianSerifTypeface"/>
          <w:bCs/>
          <w:i/>
          <w:iCs/>
          <w:color w:val="A6A6A6"/>
          <w:sz w:val="18"/>
          <w:szCs w:val="18"/>
        </w:rPr>
        <w:t> 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523-525/132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от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 xml:space="preserve">09.10. 2025, </w:t>
      </w:r>
      <w:r>
        <w:rPr>
          <w:rFonts w:ascii="PermianSerifTypeface" w:hAnsi="PermianSerifTypeface"/>
          <w:bCs/>
          <w:i/>
          <w:iCs/>
          <w:color w:val="A6A6A6"/>
          <w:sz w:val="18"/>
          <w:szCs w:val="18"/>
          <w:lang w:val="ru-RU"/>
        </w:rPr>
        <w:t xml:space="preserve">в силу с </w:t>
      </w:r>
      <w:r w:rsidRPr="00DB69DA">
        <w:rPr>
          <w:rFonts w:ascii="PermianSerifTypeface" w:hAnsi="PermianSerifTypeface"/>
          <w:bCs/>
          <w:i/>
          <w:iCs/>
          <w:color w:val="A6A6A6"/>
          <w:sz w:val="18"/>
          <w:szCs w:val="18"/>
          <w:lang w:val="ro-RO"/>
        </w:rPr>
        <w:t>09.10.2025</w:t>
      </w:r>
    </w:p>
    <w:p w14:paraId="61DD3251" w14:textId="77777777" w:rsidR="00A94D70" w:rsidRPr="0034245D" w:rsidRDefault="00A94D70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PermianSerifTypeface" w:hAnsi="PermianSerifTypeface"/>
          <w:sz w:val="24"/>
          <w:szCs w:val="24"/>
          <w:lang w:val="ro-MD"/>
        </w:rPr>
      </w:pPr>
    </w:p>
    <w:p w14:paraId="561AF639" w14:textId="77777777" w:rsidR="00042AC2" w:rsidRPr="0040771F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Style w:val="Strong"/>
          <w:rFonts w:ascii="PermianSerifTypeface" w:hAnsi="PermianSerifTypeface"/>
          <w:color w:val="000000"/>
          <w:lang w:val="ru-RU"/>
        </w:rPr>
      </w:pPr>
    </w:p>
    <w:p w14:paraId="1628949C" w14:textId="2FBF39D9" w:rsidR="00042AC2" w:rsidRPr="00064CD6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r w:rsidRPr="00303119">
        <w:rPr>
          <w:rStyle w:val="Strong"/>
          <w:rFonts w:ascii="PermianSerifTypeface" w:hAnsi="PermianSerifTypeface"/>
          <w:color w:val="000000"/>
          <w:lang w:val="ru-RU"/>
        </w:rPr>
        <w:t>УТВЕРЖДЕННЫЙ</w:t>
      </w: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 </w:t>
      </w:r>
    </w:p>
    <w:p w14:paraId="2DD9EDF4" w14:textId="77777777" w:rsidR="00042AC2" w:rsidRPr="00064CD6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>Постановлением Исполнительного комитета</w:t>
      </w:r>
    </w:p>
    <w:p w14:paraId="1C8A75D8" w14:textId="77777777" w:rsidR="00042AC2" w:rsidRPr="00064CD6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o-RO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Национального банка Молдовы </w:t>
      </w:r>
    </w:p>
    <w:p w14:paraId="06D7AEE6" w14:textId="5BBA89DE" w:rsidR="00042AC2" w:rsidRDefault="00042AC2" w:rsidP="00042AC2">
      <w:pPr>
        <w:tabs>
          <w:tab w:val="left" w:pos="426"/>
          <w:tab w:val="left" w:pos="709"/>
          <w:tab w:val="left" w:pos="851"/>
        </w:tabs>
        <w:spacing w:after="0" w:line="240" w:lineRule="auto"/>
        <w:jc w:val="right"/>
        <w:rPr>
          <w:rFonts w:ascii="PermianSerifTypeface" w:hAnsi="PermianSerifTypeface"/>
          <w:sz w:val="24"/>
          <w:szCs w:val="24"/>
          <w:lang w:val="ru-RU"/>
        </w:rPr>
      </w:pPr>
      <w:r w:rsidRPr="00064CD6">
        <w:rPr>
          <w:rFonts w:ascii="PermianSerifTypeface" w:hAnsi="PermianSerifTypeface"/>
          <w:sz w:val="24"/>
          <w:szCs w:val="24"/>
          <w:lang w:val="ru-RU"/>
        </w:rPr>
        <w:t xml:space="preserve">№ </w:t>
      </w:r>
      <w:r>
        <w:rPr>
          <w:rFonts w:ascii="PermianSerifTypeface" w:hAnsi="PermianSerifTypeface"/>
          <w:sz w:val="24"/>
          <w:szCs w:val="24"/>
          <w:lang w:val="ro-RO"/>
        </w:rPr>
        <w:t>28</w:t>
      </w:r>
      <w:r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 w:rsidRPr="00064CD6">
        <w:rPr>
          <w:rFonts w:ascii="PermianSerifTypeface" w:hAnsi="PermianSerifTypeface"/>
          <w:sz w:val="24"/>
          <w:szCs w:val="24"/>
          <w:lang w:val="ru-RU"/>
        </w:rPr>
        <w:t>от</w:t>
      </w:r>
      <w:r w:rsidRPr="00064CD6">
        <w:rPr>
          <w:rFonts w:ascii="PermianSerifTypeface" w:hAnsi="PermianSerifTypeface"/>
          <w:sz w:val="24"/>
          <w:szCs w:val="24"/>
          <w:lang w:val="ro-RO"/>
        </w:rPr>
        <w:t xml:space="preserve"> </w:t>
      </w:r>
      <w:r>
        <w:rPr>
          <w:rFonts w:ascii="PermianSerifTypeface" w:hAnsi="PermianSerifTypeface"/>
          <w:sz w:val="24"/>
          <w:szCs w:val="24"/>
          <w:lang w:val="ro-RO"/>
        </w:rPr>
        <w:t xml:space="preserve">12 </w:t>
      </w:r>
      <w:r>
        <w:rPr>
          <w:rFonts w:ascii="PermianSerifTypeface" w:hAnsi="PermianSerifTypeface"/>
          <w:sz w:val="24"/>
          <w:szCs w:val="24"/>
          <w:lang w:val="ru-RU"/>
        </w:rPr>
        <w:t>февраля 2025</w:t>
      </w:r>
    </w:p>
    <w:p w14:paraId="1B5D4F5A" w14:textId="54FB2DC0" w:rsidR="00042AC2" w:rsidRPr="00303119" w:rsidRDefault="00042AC2" w:rsidP="00042AC2">
      <w:pPr>
        <w:pStyle w:val="right"/>
        <w:spacing w:before="0" w:beforeAutospacing="0" w:after="0" w:afterAutospacing="0"/>
        <w:jc w:val="right"/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</w:pPr>
      <w:r w:rsidRPr="00303119">
        <w:rPr>
          <w:rFonts w:ascii="PermianSerifTypeface" w:hAnsi="PermianSerifTypeface"/>
          <w:color w:val="000000"/>
          <w:sz w:val="22"/>
          <w:szCs w:val="22"/>
          <w:lang w:val="ru-RU"/>
        </w:rPr>
        <w:t>В действии: с</w:t>
      </w:r>
      <w:r w:rsidRPr="00303119">
        <w:rPr>
          <w:rFonts w:ascii="PermianSerifTypeface" w:hAnsi="PermianSerifTypeface"/>
          <w:color w:val="000000"/>
          <w:sz w:val="22"/>
          <w:szCs w:val="22"/>
        </w:rPr>
        <w:t> 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20</w:t>
      </w:r>
      <w:r w:rsidRPr="00FA296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 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февраля</w:t>
      </w:r>
      <w:r w:rsidRPr="00FA296A"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 xml:space="preserve"> 202</w:t>
      </w:r>
      <w:r>
        <w:rPr>
          <w:rStyle w:val="Strong"/>
          <w:rFonts w:ascii="PermianSerifTypeface" w:hAnsi="PermianSerifTypeface"/>
          <w:color w:val="000000"/>
          <w:sz w:val="22"/>
          <w:szCs w:val="22"/>
          <w:lang w:val="ru-RU"/>
        </w:rPr>
        <w:t>5</w:t>
      </w:r>
    </w:p>
    <w:p w14:paraId="02D8ECA1" w14:textId="77777777" w:rsidR="00042AC2" w:rsidRPr="00042AC2" w:rsidRDefault="00042AC2" w:rsidP="00E71B8C">
      <w:pPr>
        <w:jc w:val="center"/>
        <w:rPr>
          <w:rFonts w:ascii="PermianSerifTypeface" w:hAnsi="PermianSerifTypeface"/>
          <w:bCs/>
          <w:color w:val="000000" w:themeColor="text1"/>
          <w:sz w:val="32"/>
          <w:szCs w:val="32"/>
          <w:lang w:val="ru-RU"/>
        </w:rPr>
      </w:pPr>
    </w:p>
    <w:p w14:paraId="6671B7C7" w14:textId="2C1DEBE3" w:rsidR="00C30AE9" w:rsidRPr="00BC111A" w:rsidRDefault="002F7657" w:rsidP="00DA76A8">
      <w:pPr>
        <w:jc w:val="both"/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Настоящий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Регламент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перела</w:t>
      </w:r>
      <w:proofErr w:type="spellEnd"/>
      <w:r w:rsidR="00D168AE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г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Руководство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r w:rsidR="00477B25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EBA/GL/2019/02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утвержденное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Европейским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банковским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r w:rsidR="00D168AE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органом</w:t>
      </w:r>
      <w:r w:rsidR="00477B25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.</w:t>
      </w:r>
    </w:p>
    <w:p w14:paraId="33A43598" w14:textId="36EF2EF5" w:rsidR="00C30AE9" w:rsidRPr="00BC111A" w:rsidRDefault="00A37039" w:rsidP="00F35325">
      <w:pPr>
        <w:pStyle w:val="ListParagraph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 xml:space="preserve">Глава </w:t>
      </w:r>
      <w:r w:rsidR="0064637F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I</w:t>
      </w:r>
    </w:p>
    <w:p w14:paraId="3DA8DC10" w14:textId="2C2D9907" w:rsidR="00C30AE9" w:rsidRPr="00BC111A" w:rsidRDefault="00A37039" w:rsidP="00F35325">
      <w:pPr>
        <w:pStyle w:val="ListParagraph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ОБЩИЕ ПОЛОЖЕНИЯ</w:t>
      </w:r>
    </w:p>
    <w:p w14:paraId="3739F666" w14:textId="12EF1B70" w:rsidR="00BD6303" w:rsidRPr="00BC111A" w:rsidRDefault="003F0995" w:rsidP="009B0B3B">
      <w:pPr>
        <w:pStyle w:val="NormalWeb"/>
        <w:numPr>
          <w:ilvl w:val="0"/>
          <w:numId w:val="2"/>
        </w:numPr>
        <w:tabs>
          <w:tab w:val="left" w:pos="426"/>
          <w:tab w:val="left" w:pos="851"/>
          <w:tab w:val="left" w:pos="993"/>
          <w:tab w:val="left" w:pos="1276"/>
        </w:tabs>
        <w:spacing w:after="120"/>
        <w:ind w:left="0" w:firstLine="720"/>
        <w:jc w:val="both"/>
        <w:rPr>
          <w:rFonts w:ascii="PermianSerifTypeface" w:hAnsi="PermianSerifTypeface"/>
          <w:color w:val="000000" w:themeColor="text1"/>
          <w:lang w:val="ro-RO"/>
        </w:rPr>
      </w:pPr>
      <w:r w:rsidRPr="00BC111A">
        <w:rPr>
          <w:rFonts w:ascii="PermianSerifTypeface" w:hAnsi="PermianSerifTypeface"/>
          <w:color w:val="000000" w:themeColor="text1"/>
          <w:lang w:val="ru-RU"/>
        </w:rPr>
        <w:t xml:space="preserve">Регламент </w:t>
      </w:r>
      <w:r w:rsidR="00AE48EF" w:rsidRPr="00BC111A">
        <w:rPr>
          <w:rFonts w:ascii="PermianSerifTypeface" w:hAnsi="PermianSerifTypeface"/>
          <w:color w:val="000000" w:themeColor="text1"/>
          <w:lang w:val="ru-RU"/>
        </w:rPr>
        <w:t xml:space="preserve">об аутсорсинге функций небанковскими поставщиками платежных </w:t>
      </w:r>
      <w:r w:rsidR="009F5CD3" w:rsidRPr="00BC111A">
        <w:rPr>
          <w:rFonts w:ascii="PermianSerifTypeface" w:hAnsi="PermianSerifTypeface"/>
          <w:color w:val="000000" w:themeColor="text1"/>
          <w:lang w:val="ru-RU"/>
        </w:rPr>
        <w:t xml:space="preserve">услуг </w:t>
      </w:r>
      <w:r w:rsidR="009F5CD3" w:rsidRPr="00BC111A">
        <w:rPr>
          <w:rFonts w:ascii="PermianSerifTypeface" w:hAnsi="PermianSerifTypeface"/>
          <w:color w:val="000000" w:themeColor="text1"/>
          <w:lang w:val="ro-RO"/>
        </w:rPr>
        <w:t>(</w:t>
      </w:r>
      <w:r w:rsidR="00AE48EF" w:rsidRPr="00BC111A">
        <w:rPr>
          <w:rFonts w:ascii="PermianSerifTypeface" w:hAnsi="PermianSerifTypeface"/>
          <w:color w:val="000000" w:themeColor="text1"/>
          <w:lang w:val="ru-RU"/>
        </w:rPr>
        <w:t>далее</w:t>
      </w:r>
      <w:r w:rsidR="005E5ECE" w:rsidRPr="00BC111A">
        <w:rPr>
          <w:rFonts w:ascii="PermianSerifTypeface" w:hAnsi="PermianSerifTypeface"/>
          <w:color w:val="000000" w:themeColor="text1"/>
          <w:lang w:val="ro-RO"/>
        </w:rPr>
        <w:t xml:space="preserve"> – </w:t>
      </w:r>
      <w:r w:rsidR="00AE48EF" w:rsidRPr="00BC111A">
        <w:rPr>
          <w:rFonts w:ascii="PermianSerifTypeface" w:hAnsi="PermianSerifTypeface"/>
          <w:color w:val="000000" w:themeColor="text1"/>
          <w:lang w:val="ru-RU"/>
        </w:rPr>
        <w:t>Регламент</w:t>
      </w:r>
      <w:r w:rsidR="005E5ECE" w:rsidRPr="00BC111A">
        <w:rPr>
          <w:rFonts w:ascii="PermianSerifTypeface" w:hAnsi="PermianSerifTypeface"/>
          <w:color w:val="000000" w:themeColor="text1"/>
          <w:lang w:val="ro-RO"/>
        </w:rPr>
        <w:t xml:space="preserve">) </w:t>
      </w:r>
      <w:r w:rsidR="00AE48EF" w:rsidRPr="00BC111A">
        <w:rPr>
          <w:rFonts w:ascii="PermianSerifTypeface" w:hAnsi="PermianSerifTypeface"/>
          <w:color w:val="000000" w:themeColor="text1"/>
          <w:lang w:val="ru-RU"/>
        </w:rPr>
        <w:t xml:space="preserve">распространяется на </w:t>
      </w:r>
      <w:r w:rsidR="002C026F" w:rsidRPr="00BC111A">
        <w:rPr>
          <w:rFonts w:ascii="PermianSerifTypeface" w:hAnsi="PermianSerifTypeface"/>
          <w:color w:val="000000" w:themeColor="text1"/>
          <w:lang w:val="ru-RU"/>
        </w:rPr>
        <w:t>платежные общества</w:t>
      </w:r>
      <w:r w:rsidR="000E6EB9" w:rsidRPr="00BC111A">
        <w:rPr>
          <w:rFonts w:ascii="PermianSerifTypeface" w:hAnsi="PermianSerifTypeface"/>
          <w:color w:val="000000" w:themeColor="text1"/>
          <w:lang w:val="ro-RO"/>
        </w:rPr>
        <w:t>,</w:t>
      </w:r>
      <w:r w:rsidR="002C026F" w:rsidRPr="00BC111A">
        <w:rPr>
          <w:rFonts w:ascii="PermianSerifTypeface" w:hAnsi="PermianSerifTypeface"/>
          <w:color w:val="000000" w:themeColor="text1"/>
          <w:lang w:val="ru-RU"/>
        </w:rPr>
        <w:t xml:space="preserve"> поставщиков почтовых услуг, которые действуют в соответствии с </w:t>
      </w:r>
      <w:r w:rsidR="009F5CD3" w:rsidRPr="00BC111A">
        <w:rPr>
          <w:rFonts w:ascii="PermianSerifTypeface" w:hAnsi="PermianSerifTypeface"/>
          <w:color w:val="000000" w:themeColor="text1"/>
          <w:lang w:val="ru-RU"/>
        </w:rPr>
        <w:t xml:space="preserve">Законом </w:t>
      </w:r>
      <w:r w:rsidR="009F5CD3" w:rsidRPr="00BC111A">
        <w:rPr>
          <w:rFonts w:ascii="PermianSerifTypeface" w:hAnsi="PermianSerifTypeface"/>
          <w:color w:val="000000" w:themeColor="text1"/>
          <w:lang w:val="ro-RO"/>
        </w:rPr>
        <w:t>о</w:t>
      </w:r>
      <w:r w:rsidR="00C81367" w:rsidRPr="00BC111A">
        <w:rPr>
          <w:rFonts w:ascii="PermianSerifTypeface" w:hAnsi="PermianSerifTypeface"/>
          <w:color w:val="000000" w:themeColor="text1"/>
          <w:lang w:val="ru-RU"/>
        </w:rPr>
        <w:t xml:space="preserve"> почтовой связи № </w:t>
      </w:r>
      <w:r w:rsidR="00677E98" w:rsidRPr="00BC111A">
        <w:rPr>
          <w:rFonts w:ascii="PermianSerifTypeface" w:hAnsi="PermianSerifTypeface"/>
          <w:color w:val="000000" w:themeColor="text1"/>
          <w:lang w:val="ro-RO"/>
        </w:rPr>
        <w:t xml:space="preserve">36/2016 </w:t>
      </w:r>
      <w:r w:rsidR="00C81367" w:rsidRPr="00BC111A">
        <w:rPr>
          <w:rFonts w:ascii="PermianSerifTypeface" w:hAnsi="PermianSerifTypeface"/>
          <w:color w:val="000000" w:themeColor="text1"/>
          <w:lang w:val="ru-RU"/>
        </w:rPr>
        <w:t>(далее</w:t>
      </w:r>
      <w:r w:rsidR="00677E98" w:rsidRPr="00BC111A">
        <w:rPr>
          <w:rFonts w:ascii="PermianSerifTypeface" w:hAnsi="PermianSerifTypeface"/>
          <w:color w:val="000000" w:themeColor="text1"/>
          <w:lang w:val="ro-RO"/>
        </w:rPr>
        <w:t xml:space="preserve"> – </w:t>
      </w:r>
      <w:r w:rsidR="00C81367" w:rsidRPr="00BC111A">
        <w:rPr>
          <w:rFonts w:ascii="PermianSerifTypeface" w:hAnsi="PermianSerifTypeface"/>
          <w:color w:val="000000" w:themeColor="text1"/>
          <w:lang w:val="ru-RU"/>
        </w:rPr>
        <w:t>поставщики почтовых услуг</w:t>
      </w:r>
      <w:r w:rsidR="00677E98" w:rsidRPr="00BC111A">
        <w:rPr>
          <w:rFonts w:ascii="PermianSerifTypeface" w:hAnsi="PermianSerifTypeface"/>
          <w:color w:val="000000" w:themeColor="text1"/>
          <w:lang w:val="ro-RO"/>
        </w:rPr>
        <w:t>)</w:t>
      </w:r>
      <w:r w:rsidR="000E6EB9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r w:rsidR="00C81367" w:rsidRPr="00BC111A">
        <w:rPr>
          <w:rFonts w:ascii="PermianSerifTypeface" w:hAnsi="PermianSerifTypeface"/>
          <w:color w:val="000000" w:themeColor="text1"/>
          <w:lang w:val="ru-RU"/>
        </w:rPr>
        <w:t xml:space="preserve">и общества, </w:t>
      </w:r>
      <w:proofErr w:type="spellStart"/>
      <w:r w:rsidR="00C81367" w:rsidRPr="00BC111A">
        <w:rPr>
          <w:rFonts w:ascii="PermianSerifTypeface" w:hAnsi="PermianSerifTypeface"/>
          <w:color w:val="000000" w:themeColor="text1"/>
          <w:lang w:val="ru-RU"/>
        </w:rPr>
        <w:t>выускающие</w:t>
      </w:r>
      <w:proofErr w:type="spellEnd"/>
      <w:r w:rsidR="00C81367" w:rsidRPr="00BC111A">
        <w:rPr>
          <w:rFonts w:ascii="PermianSerifTypeface" w:hAnsi="PermianSerifTypeface"/>
          <w:color w:val="000000" w:themeColor="text1"/>
          <w:lang w:val="ru-RU"/>
        </w:rPr>
        <w:t xml:space="preserve"> электронные деньги</w:t>
      </w:r>
      <w:r w:rsidR="005E5ECE" w:rsidRPr="00BC111A">
        <w:rPr>
          <w:rFonts w:ascii="PermianSerifTypeface" w:hAnsi="PermianSerifTypeface"/>
          <w:color w:val="000000" w:themeColor="text1"/>
          <w:lang w:val="ro-RO"/>
        </w:rPr>
        <w:t xml:space="preserve">, </w:t>
      </w:r>
      <w:r w:rsidR="008B35DE">
        <w:rPr>
          <w:rFonts w:ascii="PermianSerifTypeface" w:hAnsi="PermianSerifTypeface"/>
          <w:color w:val="000000" w:themeColor="text1"/>
          <w:lang w:val="ru-RU"/>
        </w:rPr>
        <w:t>с целью</w:t>
      </w:r>
      <w:r w:rsidR="004E11FD" w:rsidRPr="00BC111A">
        <w:rPr>
          <w:rFonts w:ascii="PermianSerifTypeface" w:hAnsi="PermianSerifTypeface"/>
          <w:color w:val="000000" w:themeColor="text1"/>
          <w:lang w:val="ru-RU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регулирования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минимальных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требований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к </w:t>
      </w:r>
      <w:r w:rsidR="009F5CD3" w:rsidRPr="00BC111A">
        <w:rPr>
          <w:rFonts w:ascii="PermianSerifTypeface" w:hAnsi="PermianSerifTypeface"/>
          <w:color w:val="000000" w:themeColor="text1"/>
          <w:lang w:val="ru-RU"/>
        </w:rPr>
        <w:t>договору</w:t>
      </w:r>
      <w:r w:rsidR="009F5CD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9F5CD3" w:rsidRPr="00BC111A">
        <w:rPr>
          <w:rFonts w:ascii="PermianSerifTypeface" w:hAnsi="PermianSerifTypeface"/>
          <w:color w:val="000000" w:themeColor="text1"/>
          <w:lang w:val="ro-RO"/>
        </w:rPr>
        <w:t>аутсорсинга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,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способ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администрирования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рисков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,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связанных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с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аутсорсингом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и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проведения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аудита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аутсорсинговых</w:t>
      </w:r>
      <w:proofErr w:type="spellEnd"/>
      <w:r w:rsidR="00BD6303" w:rsidRPr="00BC111A">
        <w:rPr>
          <w:rFonts w:ascii="PermianSerifTypeface" w:hAnsi="PermianSerifTypeface"/>
          <w:color w:val="000000" w:themeColor="text1"/>
          <w:lang w:val="ro-RO"/>
        </w:rPr>
        <w:t xml:space="preserve"> </w:t>
      </w:r>
      <w:proofErr w:type="spellStart"/>
      <w:r w:rsidR="00BD6303" w:rsidRPr="00BC111A">
        <w:rPr>
          <w:rFonts w:ascii="PermianSerifTypeface" w:hAnsi="PermianSerifTypeface"/>
          <w:color w:val="000000" w:themeColor="text1"/>
          <w:lang w:val="ro-RO"/>
        </w:rPr>
        <w:t>функций</w:t>
      </w:r>
      <w:proofErr w:type="spellEnd"/>
    </w:p>
    <w:p w14:paraId="4A4719E3" w14:textId="1C8CF77B" w:rsidR="00B9056B" w:rsidRPr="00BC111A" w:rsidRDefault="001D50F0" w:rsidP="0003517C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Термины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выражения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используемые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</w:t>
      </w:r>
      <w:proofErr w:type="spellEnd"/>
      <w:r w:rsidR="00AA592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о </w:t>
      </w:r>
      <w:proofErr w:type="spellStart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платежных</w:t>
      </w:r>
      <w:proofErr w:type="spellEnd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услугах</w:t>
      </w:r>
      <w:proofErr w:type="spellEnd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и </w:t>
      </w:r>
      <w:proofErr w:type="spellStart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электронных</w:t>
      </w:r>
      <w:proofErr w:type="spellEnd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</w:t>
      </w:r>
      <w:proofErr w:type="spellStart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деньгах</w:t>
      </w:r>
      <w:proofErr w:type="spellEnd"/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 xml:space="preserve"> №</w:t>
      </w:r>
      <w:r w:rsidR="00CD10D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114/2012</w:t>
      </w:r>
      <w:r w:rsidR="000E37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далее</w:t>
      </w:r>
      <w:r w:rsidR="000E37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– </w:t>
      </w:r>
      <w:r w:rsidR="005508F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Закон №</w:t>
      </w:r>
      <w:r w:rsidR="000E37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114/2012)</w:t>
      </w:r>
      <w:r w:rsidR="00CD10D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r w:rsidR="00AA592D" w:rsidRPr="00BC111A">
        <w:rPr>
          <w:rFonts w:ascii="PermianSerifTypeface" w:hAnsi="PermianSerifTypeface"/>
          <w:color w:val="000000" w:themeColor="text1"/>
          <w:sz w:val="24"/>
          <w:szCs w:val="24"/>
          <w:shd w:val="clear" w:color="auto" w:fill="FFFFFF"/>
          <w:lang w:val="ru-RU"/>
        </w:rPr>
        <w:t>Дополнительно для целей настоящего регламента используются следующие сокращения и понятия</w:t>
      </w:r>
      <w:r w:rsidR="00B9056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4F85F248" w14:textId="4B6E7985" w:rsidR="0098348E" w:rsidRPr="00BC111A" w:rsidRDefault="0098348E" w:rsidP="00E610BE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CISA</w:t>
      </w:r>
      <w:r w:rsidR="00026DE5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r w:rsidR="00B03A9B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(</w:t>
      </w:r>
      <w:r w:rsidR="00372346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Сертификат аудитора информационных систем</w:t>
      </w:r>
      <w:r w:rsidR="00B03A9B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) –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сертифицированный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аудитор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области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систем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сертификация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выпущенная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Ассоциацией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аудиту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контролю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систем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(ISACA),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международная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профессиональная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ассоциация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ориентированная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на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="009F2A04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ИТ</w:t>
      </w:r>
      <w:r w:rsidR="00AF4F81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.</w:t>
      </w:r>
    </w:p>
    <w:p w14:paraId="22281A49" w14:textId="3B4AA1C7" w:rsidR="0098348E" w:rsidRPr="00BC111A" w:rsidRDefault="0098348E" w:rsidP="00E610BE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CISSP </w:t>
      </w:r>
      <w:r w:rsidR="00B03A9B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-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сертификация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выданная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Международным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консорциумом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сертификации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систем</w:t>
      </w:r>
      <w:proofErr w:type="spellEnd"/>
      <w:r w:rsidR="00EF6F93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(ISC</w:t>
      </w:r>
      <w:r w:rsidR="00B03A9B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)</w:t>
      </w:r>
      <w:r w:rsidR="0048520F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.</w:t>
      </w:r>
    </w:p>
    <w:p w14:paraId="24B8F840" w14:textId="66D3FE29" w:rsidR="00B9056B" w:rsidRPr="00BC111A" w:rsidRDefault="00403857" w:rsidP="0098348E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-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соглашение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платежным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обществом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почтовых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обществом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выпускающим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электронные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деньги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основании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которого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выполняет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lastRenderedPageBreak/>
        <w:t>процесс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предоставляет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осуществляет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противном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платежным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обществом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почтовых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обществом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выпускающим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электронные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деньги</w:t>
      </w:r>
      <w:proofErr w:type="spellEnd"/>
      <w:r w:rsidR="00B9056B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. </w:t>
      </w:r>
    </w:p>
    <w:p w14:paraId="67188078" w14:textId="79FC6576" w:rsidR="00665CF2" w:rsidRPr="00BC111A" w:rsidRDefault="00371B2F" w:rsidP="0003517C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Цепной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) -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ситуация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передает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аутсорсинговую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другому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</w:t>
      </w:r>
      <w:proofErr w:type="spellEnd"/>
      <w:r w:rsidR="00665CF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20577E7" w14:textId="494E0B0F" w:rsidR="009126D4" w:rsidRPr="00BC111A" w:rsidRDefault="00371B2F" w:rsidP="0003517C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-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любые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процессы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виды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9126D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6D59982" w14:textId="38F4FDE5" w:rsidR="002573B5" w:rsidRPr="00BC111A" w:rsidRDefault="00476C29" w:rsidP="0003517C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- </w:t>
      </w:r>
      <w:r w:rsidR="004F3778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третья</w:t>
      </w: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организация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выполняет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процесс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поставляет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услугу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выполняет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аутсорсинговую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часть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r w:rsidR="00FF5EB1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об</w:t>
      </w:r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FF5EB1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е</w:t>
      </w:r>
      <w:r w:rsidR="002573B5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.</w:t>
      </w:r>
    </w:p>
    <w:p w14:paraId="1DD79173" w14:textId="62CD4E89" w:rsidR="00FF5EB1" w:rsidRPr="00BC111A" w:rsidRDefault="00FF5EB1" w:rsidP="0003517C">
      <w:pPr>
        <w:tabs>
          <w:tab w:val="left" w:pos="993"/>
          <w:tab w:val="left" w:pos="1276"/>
        </w:tabs>
        <w:spacing w:after="120" w:line="240" w:lineRule="auto"/>
        <w:ind w:firstLine="720"/>
        <w:jc w:val="both"/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-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</w:t>
      </w:r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ое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о,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почтовых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или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выпускющ</w:t>
      </w:r>
      <w:proofErr w:type="spellEnd"/>
      <w:r w:rsidR="00DD70B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е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электронные</w:t>
      </w:r>
      <w:proofErr w:type="spellEnd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36C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деньги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имеют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платежные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o-RO"/>
        </w:rPr>
        <w:t xml:space="preserve"> с</w:t>
      </w:r>
      <w:r w:rsidR="00DD70BF" w:rsidRPr="00BC111A">
        <w:rPr>
          <w:rFonts w:ascii="PermianSerifTypeface" w:hAnsi="PermianSerifTypeface"/>
          <w:bCs/>
          <w:color w:val="000000" w:themeColor="text1"/>
          <w:sz w:val="24"/>
          <w:szCs w:val="24"/>
          <w:lang w:val="ru-RU"/>
        </w:rPr>
        <w:t>о ст. 4 и 7 Закона № 114/2012.</w:t>
      </w:r>
    </w:p>
    <w:p w14:paraId="1B6ED9BC" w14:textId="14F9C176" w:rsidR="00B9056B" w:rsidRPr="00BC111A" w:rsidRDefault="0098348E" w:rsidP="00DB2155">
      <w:pPr>
        <w:tabs>
          <w:tab w:val="left" w:pos="142"/>
          <w:tab w:val="left" w:pos="1276"/>
        </w:tabs>
        <w:spacing w:after="0" w:line="240" w:lineRule="auto"/>
        <w:ind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QSA</w:t>
      </w:r>
      <w:r w:rsidRPr="00BC111A" w:rsidDel="00CD10DF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637B2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(</w:t>
      </w:r>
      <w:proofErr w:type="spellStart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квалифицированнй</w:t>
      </w:r>
      <w:proofErr w:type="spellEnd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эксперт по безопасности</w:t>
      </w:r>
      <w:r w:rsidR="00637B2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- </w:t>
      </w:r>
      <w:proofErr w:type="spellStart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сертификация</w:t>
      </w:r>
      <w:proofErr w:type="spellEnd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выданная</w:t>
      </w:r>
      <w:proofErr w:type="spellEnd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0539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Советом</w:t>
      </w:r>
      <w:proofErr w:type="spellEnd"/>
      <w:r w:rsidR="00637B2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544C1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по стандартам безопасности данных индустрии платежных карт</w:t>
      </w:r>
      <w:r w:rsidR="00637B2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(PCI SSC).</w:t>
      </w:r>
    </w:p>
    <w:p w14:paraId="06A3BC0B" w14:textId="794AC28B" w:rsidR="00755747" w:rsidRPr="00BC111A" w:rsidRDefault="00F572BD" w:rsidP="009B0CC0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E3E0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в том числе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E3E0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акта</w:t>
      </w:r>
      <w:proofErr w:type="spellStart"/>
      <w:r w:rsidR="002E3E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гражданским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конкуренции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предупреждения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борьбы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отмыванием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денег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финансированием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терроризма</w:t>
      </w:r>
      <w:proofErr w:type="spellEnd"/>
      <w:r w:rsidR="0075574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ABFCCB2" w14:textId="44165A76" w:rsidR="00745059" w:rsidRPr="00BC111A" w:rsidRDefault="00655C16" w:rsidP="009B0CC0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" w:name="_Ref123205581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принципом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пропорциональности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гарантируется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механизмы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администрирования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согласуются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индивидуальным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профилем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моделью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с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тем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достигать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цели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вытекающих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F76C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="0074505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"/>
    </w:p>
    <w:p w14:paraId="1D824FBC" w14:textId="4ADDF22E" w:rsidR="00004DAA" w:rsidRPr="00BC111A" w:rsidRDefault="00ED4B3E" w:rsidP="009B0CC0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небанковские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707B3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переданных на </w:t>
      </w:r>
      <w:proofErr w:type="spellStart"/>
      <w:r w:rsidR="00707B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707B3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,</w:t>
      </w:r>
      <w:r w:rsidR="00707B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возникающие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</w:t>
      </w:r>
      <w:proofErr w:type="spellEnd"/>
      <w:r w:rsidR="0040738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004DA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CFB64BB" w14:textId="6DDCC160" w:rsidR="00FA1088" w:rsidRPr="00BC111A" w:rsidRDefault="00A37D09" w:rsidP="009B0CC0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Не считается переданной на аутсорсинг</w:t>
      </w:r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137B9825" w14:textId="738EF029" w:rsidR="00B3687F" w:rsidRPr="00BC111A" w:rsidRDefault="00A37D09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DC7608B" w14:textId="74AAFFF9" w:rsidR="00B3687F" w:rsidRPr="00BC111A" w:rsidRDefault="00A8634D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рыночн</w:t>
      </w:r>
      <w:proofErr w:type="spellEnd"/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ой</w:t>
      </w:r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</w:t>
      </w:r>
      <w:proofErr w:type="spellEnd"/>
      <w:r w:rsidR="00E503B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Bloomberg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Moody's, Standard &amp;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Poor's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т. д.</w:t>
      </w:r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11B5F57" w14:textId="4099D8B8" w:rsidR="00B3687F" w:rsidRPr="00BC111A" w:rsidRDefault="001616A9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виды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глобальными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сетевыми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инфраструктурами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картами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Visa,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MasterCard</w:t>
      </w:r>
      <w:proofErr w:type="spellEnd"/>
      <w:r w:rsidR="007A6CD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775864F" w14:textId="5F2AEC04" w:rsidR="00B3687F" w:rsidRPr="00BC111A" w:rsidRDefault="004905D8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клиринговых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расчетных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аналогичных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клиринговых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расчетных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клиринговыми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палатами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центральными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контрагентами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партнерами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учреждениями</w:t>
      </w:r>
      <w:proofErr w:type="spellEnd"/>
      <w:r w:rsidR="007D116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, производящих расчет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стороны</w:t>
      </w:r>
      <w:proofErr w:type="spellEnd"/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A97E8C4" w14:textId="09A141D9" w:rsidR="00B3687F" w:rsidRPr="00BC111A" w:rsidRDefault="003012CD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через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глобальные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инфраструктуры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обмена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сообщениями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подлежат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SWIFT</w:t>
      </w:r>
      <w:r w:rsidR="00FA108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53FE30F" w14:textId="05FD3E2C" w:rsidR="00B3687F" w:rsidRPr="00BC111A" w:rsidRDefault="00707A7A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кореспондентские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B17D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B21824F" w14:textId="14B872E6" w:rsidR="00453124" w:rsidRPr="00BC111A" w:rsidRDefault="00453124" w:rsidP="00EC2430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Покупка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консультирование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архитектором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юридических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</w:t>
      </w:r>
      <w:r w:rsidR="00D20AB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уборке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D20AB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озеленению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содержанию помещений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медицинские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техническому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служебных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автомобилей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общественного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питания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автоматического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распределения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продуктов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административные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туристического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агентства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регистрации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администраторов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секретарей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операторов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телефонных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станций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товары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платежные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карты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считыватели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карт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канцелярские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товары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персональные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компьютеры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мебель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коммунальные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электричество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газ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вода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телефон</w:t>
      </w:r>
      <w:r w:rsidR="004C1217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ия</w:t>
      </w:r>
      <w:proofErr w:type="spellEnd"/>
      <w:r w:rsidR="001A79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="00EC243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;</w:t>
      </w:r>
    </w:p>
    <w:p w14:paraId="01FA25D5" w14:textId="65497B78" w:rsidR="00B3687F" w:rsidRPr="00BC111A" w:rsidRDefault="009E4DF9" w:rsidP="003A7254">
      <w:pPr>
        <w:pStyle w:val="ListParagraph"/>
        <w:numPr>
          <w:ilvl w:val="0"/>
          <w:numId w:val="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</w:t>
      </w:r>
      <w:proofErr w:type="spellEnd"/>
      <w:r w:rsidR="00DE71A4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="00043A8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операции</w:t>
      </w:r>
      <w:proofErr w:type="spellEnd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E2C7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предполагающ</w:t>
      </w:r>
      <w:r w:rsidR="00DE71A4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ие</w:t>
      </w:r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</w:t>
      </w:r>
      <w:proofErr w:type="spellEnd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к </w:t>
      </w:r>
      <w:proofErr w:type="spellStart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E21AE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о </w:t>
      </w:r>
      <w:proofErr w:type="spellStart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7E2C7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ах</w:t>
      </w:r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255D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043A8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,</w:t>
      </w:r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</w:t>
      </w:r>
      <w:r w:rsidR="00DE71A4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ые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</w:t>
      </w:r>
      <w:proofErr w:type="spellEnd"/>
      <w:r w:rsidR="00DE71A4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ю</w:t>
      </w:r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т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собой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конфиденциальную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клиентах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CB3A0C"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="00C51D98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о</w:t>
      </w:r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выполняемой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3940B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</w:t>
      </w:r>
      <w:proofErr w:type="spellEnd"/>
      <w:r w:rsidR="003940B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B3A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043A8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FDFB8CB" w14:textId="4E8D49DB" w:rsidR="00F563AB" w:rsidRPr="00BC111A" w:rsidRDefault="00D26AC2" w:rsidP="009B0CC0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" w:name="_Ref123202122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</w:t>
      </w:r>
      <w:r w:rsidR="0040738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й,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возникновение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сбоя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="00F563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2"/>
    </w:p>
    <w:p w14:paraId="0B75566C" w14:textId="4F128E9F" w:rsidR="00B3405B" w:rsidRPr="00BC111A" w:rsidRDefault="00F35926" w:rsidP="00117DA6">
      <w:pPr>
        <w:pStyle w:val="ListParagraph"/>
        <w:numPr>
          <w:ilvl w:val="0"/>
          <w:numId w:val="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нанесет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ущерб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лицензирования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FB432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в соответствии с Законом № </w:t>
      </w:r>
      <w:r w:rsidR="00665CF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114/2012;</w:t>
      </w:r>
    </w:p>
    <w:p w14:paraId="2492E82B" w14:textId="265DBC29" w:rsidR="00390B8A" w:rsidRPr="00BC111A" w:rsidRDefault="000E689C" w:rsidP="00DA76A8">
      <w:pPr>
        <w:pStyle w:val="ListParagraph"/>
        <w:numPr>
          <w:ilvl w:val="0"/>
          <w:numId w:val="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повлияет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стабильность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5725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F5725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выпуску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электронных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денег</w:t>
      </w:r>
      <w:proofErr w:type="spellEnd"/>
      <w:r w:rsidR="00F5725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.</w:t>
      </w:r>
    </w:p>
    <w:p w14:paraId="44C4696C" w14:textId="35CE8062" w:rsidR="00A03004" w:rsidRPr="00BC111A" w:rsidRDefault="00EC03A7" w:rsidP="005528C0">
      <w:pPr>
        <w:tabs>
          <w:tab w:val="left" w:pos="993"/>
          <w:tab w:val="left" w:pos="1276"/>
        </w:tabs>
        <w:spacing w:before="120" w:after="120" w:line="240" w:lineRule="auto"/>
        <w:ind w:firstLine="72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</w:t>
      </w:r>
      <w:proofErr w:type="spellEnd"/>
      <w:r w:rsidR="0040738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системами</w:t>
      </w:r>
      <w:proofErr w:type="spellEnd"/>
      <w:r w:rsidR="00414D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E143EF1" w14:textId="6A765611" w:rsidR="001D0FAE" w:rsidRPr="00BC111A" w:rsidRDefault="00E31039" w:rsidP="009B0B3B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3" w:name="_Ref153962090"/>
      <w:bookmarkStart w:id="4" w:name="_Ref153962216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Уведомление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сопровождается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информацией</w:t>
      </w:r>
      <w:proofErr w:type="spellEnd"/>
      <w:r w:rsidR="001D0FA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"/>
      <w:bookmarkEnd w:id="4"/>
    </w:p>
    <w:p w14:paraId="5BFC091D" w14:textId="06BD99E4" w:rsidR="00B54E3B" w:rsidRPr="00BC111A" w:rsidRDefault="00E31039" w:rsidP="00117DA6">
      <w:pPr>
        <w:pStyle w:val="ListParagraph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1D0FA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46CA826" w14:textId="0F138A4E" w:rsidR="00B54E3B" w:rsidRPr="00BC111A" w:rsidRDefault="00765A65" w:rsidP="00117DA6">
      <w:pPr>
        <w:pStyle w:val="ListParagraph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идентификационные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контактные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1D0FA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386BDF0" w14:textId="75082557" w:rsidR="00B54E3B" w:rsidRPr="00BC111A" w:rsidRDefault="00DB1499" w:rsidP="00117DA6">
      <w:pPr>
        <w:pStyle w:val="ListParagraph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</w:t>
      </w:r>
      <w:proofErr w:type="spellEnd"/>
      <w:r w:rsidR="002F334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тики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характеристик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отслеживаются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контролируются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F1869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ухудшить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</w:t>
      </w:r>
      <w:proofErr w:type="spellEnd"/>
      <w:r w:rsidR="009F1869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банкротства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="001D0FA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051642D" w14:textId="071A73FC" w:rsidR="00DB4F52" w:rsidRPr="00BC111A" w:rsidRDefault="00431C46" w:rsidP="00117DA6">
      <w:pPr>
        <w:pStyle w:val="ListParagraph"/>
        <w:numPr>
          <w:ilvl w:val="0"/>
          <w:numId w:val="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себя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="005C0358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об обязанности поставщика сотрудничать с надзорным органом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57B0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9C6CC92" w14:textId="44CAA19B" w:rsidR="00DB4F52" w:rsidRPr="00BC111A" w:rsidRDefault="00DB4F52" w:rsidP="009B0B3B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Уведомление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указанные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8,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составляются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румынском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языке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подписываются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руководящим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членом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руководящего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уполномоченным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</w:t>
      </w:r>
      <w:proofErr w:type="spellEnd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B46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00F47889" w14:textId="4CAAE56F" w:rsidR="00BD154E" w:rsidRPr="00BC111A" w:rsidRDefault="00BD154E" w:rsidP="009B0B3B">
      <w:pPr>
        <w:pStyle w:val="ListParagraph"/>
        <w:numPr>
          <w:ilvl w:val="0"/>
          <w:numId w:val="2"/>
        </w:numPr>
        <w:tabs>
          <w:tab w:val="left" w:pos="284"/>
          <w:tab w:val="left" w:pos="993"/>
          <w:tab w:val="left" w:pos="1134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5" w:name="_Ref153962139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8,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неполными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5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3823A6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за</w:t>
      </w:r>
      <w:r w:rsidR="003B5F3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полня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</w:t>
      </w:r>
      <w:r w:rsidR="003B5F3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банке</w:t>
      </w:r>
      <w:proofErr w:type="spellEnd"/>
      <w:r w:rsidR="0069361E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</w:t>
      </w:r>
      <w:proofErr w:type="spellEnd"/>
      <w:r w:rsidR="003B5F3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ю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отсутствует</w:t>
      </w:r>
      <w:proofErr w:type="spellEnd"/>
      <w:r w:rsidR="003B5F3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.</w:t>
      </w:r>
    </w:p>
    <w:bookmarkEnd w:id="5"/>
    <w:p w14:paraId="00AB1502" w14:textId="5A6D92F1" w:rsidR="00F35804" w:rsidRPr="00BC111A" w:rsidRDefault="004460BE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рассмотрения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рекомендации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услугой</w:t>
      </w:r>
      <w:proofErr w:type="spellEnd"/>
      <w:r w:rsidR="00AA031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r w:rsidR="00F3580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678C89DB" w14:textId="38AB1AF1" w:rsidR="00390B8A" w:rsidRPr="00BC111A" w:rsidRDefault="004460BE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6" w:name="_Ref123200577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</w:t>
      </w:r>
      <w:proofErr w:type="spellEnd"/>
      <w:r w:rsidR="0040738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811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этом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6"/>
    </w:p>
    <w:p w14:paraId="09E7C6B4" w14:textId="2EE3AD8D" w:rsidR="00390B8A" w:rsidRPr="00BC111A" w:rsidRDefault="00F1172C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7" w:name="_Ref123202136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</w:t>
      </w:r>
      <w:r w:rsidR="0091484E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2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прилагает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сведения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7"/>
    </w:p>
    <w:p w14:paraId="6A51EDC0" w14:textId="4B82CBD4" w:rsidR="00C85872" w:rsidRPr="00BC111A" w:rsidRDefault="00B6504A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вынесенное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уставом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1F2B3DE" w14:textId="67FD1103" w:rsidR="00C85872" w:rsidRPr="00BC111A" w:rsidRDefault="00B6504A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согла</w:t>
      </w:r>
      <w:r w:rsidR="004A1BDB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сно пунктам</w:t>
      </w:r>
      <w:r w:rsidR="00B96F0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1484E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86</w:t>
      </w:r>
      <w:r w:rsidR="007C289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91484E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93</w:t>
      </w:r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CF056EB" w14:textId="5DFCB63C" w:rsidR="0060093C" w:rsidRPr="00BC111A" w:rsidRDefault="00A6541C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(4)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28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</w:t>
      </w:r>
      <w:r w:rsidR="0060093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114/2012;</w:t>
      </w:r>
    </w:p>
    <w:p w14:paraId="3C96B1D7" w14:textId="220A715B" w:rsidR="00C85872" w:rsidRPr="00BC111A" w:rsidRDefault="00063BB3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экономическое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обоснование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подробное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причины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квалифицирована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значимая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69E7903" w14:textId="361E31FD" w:rsidR="00C85872" w:rsidRPr="00BC111A" w:rsidRDefault="00063BB3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реализованы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стабильности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производительности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рассматриваемой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E043565" w14:textId="15A8E827" w:rsidR="00C85872" w:rsidRPr="00BC111A" w:rsidRDefault="00310E05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предполагаемое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ого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E69F4D4" w14:textId="78347C70" w:rsidR="00D43F0D" w:rsidRPr="00BC111A" w:rsidRDefault="00D43F0D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местонахождение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виды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кадровые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ИТ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рынок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рынке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сотрудников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приложением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0241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сертификата</w:t>
      </w:r>
      <w:proofErr w:type="spellEnd"/>
      <w:r w:rsidR="0090241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="0090241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квалификаций</w:t>
      </w:r>
      <w:proofErr w:type="spellEnd"/>
      <w:r w:rsidR="0090241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0241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производительности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B6180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деловая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модель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B6180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масштаб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</w:t>
      </w:r>
      <w:proofErr w:type="spellEnd"/>
      <w:r w:rsidR="00AC12E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принадлежности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невключения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консолидированный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="000B537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;</w:t>
      </w:r>
    </w:p>
    <w:p w14:paraId="5454732E" w14:textId="03328656" w:rsidR="00C85872" w:rsidRPr="00BC111A" w:rsidRDefault="00AC12EA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проект договора аутсорсинга</w:t>
      </w:r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9ADE437" w14:textId="4CCBEB09" w:rsidR="00C85872" w:rsidRPr="00BC111A" w:rsidRDefault="00C96FBD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правила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F4774B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значим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Регламентом</w:t>
      </w:r>
      <w:proofErr w:type="spellEnd"/>
      <w:r w:rsidR="007B540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498A74C" w14:textId="18187140" w:rsidR="00390B8A" w:rsidRPr="00BC111A" w:rsidRDefault="00C96FBD" w:rsidP="00117DA6">
      <w:pPr>
        <w:pStyle w:val="ListParagraph"/>
        <w:numPr>
          <w:ilvl w:val="0"/>
          <w:numId w:val="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копия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подлежащей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день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степени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регистрации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исключением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</w:t>
      </w:r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F56DCD6" w14:textId="03EF4780" w:rsidR="00390B8A" w:rsidRPr="00BC111A" w:rsidRDefault="00761DD6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28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</w:t>
      </w:r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262C97F" w14:textId="0668516B" w:rsidR="00390B8A" w:rsidRPr="00BC111A" w:rsidRDefault="00EC3D36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3464D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12</w:t>
      </w:r>
      <w:r w:rsidR="0023464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23464D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румынском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языке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подписываются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B2DE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="00FB2DE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ого</w:t>
      </w:r>
      <w:r w:rsidR="00FB2DE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лицом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2D8D91E" w14:textId="34D079DD" w:rsidR="00390B8A" w:rsidRPr="00BC111A" w:rsidRDefault="003823A6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8" w:name="_Ref123202174"/>
      <w:bookmarkStart w:id="9" w:name="_Ref163743116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386D99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неполными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максимум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20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заполняет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8"/>
      <w:bookmarkEnd w:id="9"/>
    </w:p>
    <w:p w14:paraId="240E0E6B" w14:textId="7800F107" w:rsidR="00390B8A" w:rsidRPr="00BC111A" w:rsidRDefault="00E17268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заполняет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пакет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386D99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констатирует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молчаливый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отказ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момента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истечения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386D99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приводит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процедуры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возврату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прилагаемых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390B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26E56D2" w14:textId="0E6D15E2" w:rsidR="00772258" w:rsidRPr="00BC111A" w:rsidRDefault="00603631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0" w:name="_Ref163743238"/>
      <w:bookmarkStart w:id="11" w:name="_Ref17754571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недостаточны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4137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0"/>
      <w:r w:rsidR="0077225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End w:id="11"/>
    </w:p>
    <w:p w14:paraId="5EC518F8" w14:textId="50E8FE7E" w:rsidR="00390B8A" w:rsidRPr="00BC111A" w:rsidRDefault="003F37DE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2" w:name="_Ref184824220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30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полного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паке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главой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выдает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предварительное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разрешение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передачу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отклоняет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информируя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своем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установить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более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длительный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выдачи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превышать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90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Административного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кодекса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№. 116/2018, </w:t>
      </w:r>
      <w:r w:rsidR="00E8116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при</w:t>
      </w:r>
      <w:r w:rsidR="00E811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811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</w:t>
      </w:r>
      <w:proofErr w:type="spellEnd"/>
      <w:r w:rsidR="00E8116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="00E811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8116C" w:rsidRPr="00E8116C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уведомлении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0363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4347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2"/>
      <w:r w:rsidR="0087044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43F56186" w14:textId="53DAC8EB" w:rsidR="00317252" w:rsidRPr="00BC111A" w:rsidRDefault="00A30101" w:rsidP="009B0B3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отклонения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отклонено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отклонения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важной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</w:t>
      </w:r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5DC4BF95" w14:textId="67381560" w:rsidR="007573DC" w:rsidRPr="00BC111A" w:rsidRDefault="00A30101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представление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ошибочной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3ACFED3" w14:textId="26B5394F" w:rsidR="007573DC" w:rsidRPr="00BC111A" w:rsidRDefault="00A30101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упомянутой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C3F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86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2C3F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93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,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обстоятельства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известные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указывают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хорошей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репутации</w:t>
      </w:r>
      <w:proofErr w:type="spellEnd"/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2B44BFD" w14:textId="5BF68E03" w:rsidR="007573DC" w:rsidRPr="00BC111A" w:rsidRDefault="00576731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несоответствие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II</w:t>
      </w:r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C3AFDF2" w14:textId="11644DDD" w:rsidR="003C79D0" w:rsidRPr="00BC111A" w:rsidRDefault="00576731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частью</w:t>
      </w:r>
      <w:r w:rsidR="003C79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(4)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ст. 28 Закона </w:t>
      </w:r>
      <w:r w:rsidR="007565D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№ </w:t>
      </w:r>
      <w:r w:rsidR="007565D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114</w:t>
      </w:r>
      <w:r w:rsidR="003C79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/2012;</w:t>
      </w:r>
    </w:p>
    <w:p w14:paraId="696B91FD" w14:textId="326B52F1" w:rsidR="007573DC" w:rsidRPr="00BC111A" w:rsidRDefault="008B47F4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несоответствие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006F796" w14:textId="0ACC04B4" w:rsidR="00317252" w:rsidRPr="00BC111A" w:rsidRDefault="00EC7197" w:rsidP="00117DA6">
      <w:pPr>
        <w:pStyle w:val="ListParagraph"/>
        <w:numPr>
          <w:ilvl w:val="0"/>
          <w:numId w:val="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несоразмерности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недостаточности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несоразмерных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выгодам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ссылается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31725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ABAC1F5" w14:textId="387014B6" w:rsidR="00500B33" w:rsidRPr="00BC111A" w:rsidRDefault="00EC7197" w:rsidP="00BD52CE">
      <w:pPr>
        <w:spacing w:after="24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313A26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II</w:t>
      </w:r>
    </w:p>
    <w:p w14:paraId="31B1408F" w14:textId="77777777" w:rsidR="00AA0BC3" w:rsidRPr="00BC111A" w:rsidRDefault="00AA0BC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МИНИМАЛЬНЫЕ ТРЕБОВАНИЯ К ДОГОВОРУ АУТСОРСИНГА</w:t>
      </w:r>
    </w:p>
    <w:p w14:paraId="2E977FB1" w14:textId="50F3BD47" w:rsidR="007E45F8" w:rsidRPr="00BC111A" w:rsidRDefault="00EC7197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7E45F8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1</w:t>
      </w:r>
    </w:p>
    <w:p w14:paraId="162922A1" w14:textId="13BE922B" w:rsidR="007E45F8" w:rsidRPr="00BC111A" w:rsidRDefault="00AA0BC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Преддоговорный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этап</w:t>
      </w:r>
      <w:proofErr w:type="spellEnd"/>
    </w:p>
    <w:p w14:paraId="072F0A0E" w14:textId="64705788" w:rsidR="008F769E" w:rsidRPr="00BC111A" w:rsidRDefault="0038664E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подпадает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D21B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третьей</w:t>
      </w:r>
      <w:proofErr w:type="spellEnd"/>
      <w:r w:rsidRPr="00BD21B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D21B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понятие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рассмотреть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вопрос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,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если</w:t>
      </w:r>
      <w:r w:rsidR="008F76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2C5A6E85" w14:textId="5BC436C3" w:rsidR="007573DC" w:rsidRPr="00BC111A" w:rsidRDefault="0038664E" w:rsidP="00117DA6">
      <w:pPr>
        <w:pStyle w:val="ListParagraph"/>
        <w:numPr>
          <w:ilvl w:val="0"/>
          <w:numId w:val="1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регулярно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CB28E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4811B14" w14:textId="4F76391B" w:rsidR="00F563AB" w:rsidRPr="00BC111A" w:rsidRDefault="006A6D1F" w:rsidP="00117DA6">
      <w:pPr>
        <w:pStyle w:val="ListParagraph"/>
        <w:numPr>
          <w:ilvl w:val="0"/>
          <w:numId w:val="1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обычно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подпадает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категорию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прошлом</w:t>
      </w:r>
      <w:proofErr w:type="spellEnd"/>
      <w:r w:rsidR="00F464F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8353794" w14:textId="1FBE8FC6" w:rsidR="00926667" w:rsidRPr="00BC111A" w:rsidRDefault="006A6D1F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Прежде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какой-либо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9266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4CED4603" w14:textId="7E44F407" w:rsidR="007573DC" w:rsidRPr="00BC111A" w:rsidRDefault="00726E30" w:rsidP="00117DA6">
      <w:pPr>
        <w:pStyle w:val="ListParagraph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</w:t>
      </w:r>
      <w:r w:rsidR="0048310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охватывает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(3)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28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7</w:t>
      </w:r>
      <w:r w:rsidR="009266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789FDAC" w14:textId="0262106A" w:rsidR="00E35B39" w:rsidRPr="00BC111A" w:rsidRDefault="0003047D" w:rsidP="00117DA6">
      <w:pPr>
        <w:pStyle w:val="ListParagraph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</w:t>
      </w:r>
      <w:r w:rsidR="0048310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</w:t>
      </w:r>
      <w:r w:rsidR="0048310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4</w:t>
      </w:r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28 </w:t>
      </w:r>
      <w:proofErr w:type="spellStart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="00D309D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</w:t>
      </w:r>
      <w:r w:rsidR="00E35B3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114/2012;</w:t>
      </w:r>
    </w:p>
    <w:p w14:paraId="0B87B360" w14:textId="71AA72C6" w:rsidR="007573DC" w:rsidRPr="00BC111A" w:rsidRDefault="00FD38D1" w:rsidP="00117DA6">
      <w:pPr>
        <w:pStyle w:val="ListParagraph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</w:t>
      </w:r>
      <w:proofErr w:type="spellEnd"/>
      <w:r w:rsidR="0048310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ля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</w:t>
      </w:r>
      <w:r w:rsidR="0048310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</w:t>
      </w:r>
      <w:r w:rsidR="009266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3891C3DD" w14:textId="6FDBE1C2" w:rsidR="007573DC" w:rsidRPr="00BC111A" w:rsidRDefault="00D20B60" w:rsidP="00117DA6">
      <w:pPr>
        <w:pStyle w:val="ListParagraph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41EB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добросовестности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B33BCF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86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B33BCF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93</w:t>
      </w:r>
      <w:r w:rsidR="009266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0FD41E6" w14:textId="6170B753" w:rsidR="00926667" w:rsidRPr="00BC111A" w:rsidRDefault="00D705C0" w:rsidP="00117DA6">
      <w:pPr>
        <w:pStyle w:val="ListParagraph"/>
        <w:numPr>
          <w:ilvl w:val="0"/>
          <w:numId w:val="1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вызвать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</w:t>
      </w:r>
      <w:r w:rsidR="009266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C4AF7BE" w14:textId="3C35E210" w:rsidR="00AD778A" w:rsidRPr="00BC111A" w:rsidRDefault="007744D3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3" w:name="_Ref16374373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относится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наряду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факторы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13"/>
    </w:p>
    <w:p w14:paraId="3F9A20A5" w14:textId="1D448CBD" w:rsidR="00C72460" w:rsidRPr="00BC111A" w:rsidRDefault="007744D3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напрямую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оказанием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045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лицензию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5EF4DCD" w14:textId="24CB2AA0" w:rsidR="00AD778A" w:rsidRPr="00BC111A" w:rsidRDefault="00012F73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нарушения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неспособности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54F9DC67" w14:textId="71D6CDCA" w:rsidR="00C72460" w:rsidRPr="00BC111A" w:rsidRDefault="0091374B" w:rsidP="00CC4C5E">
      <w:pPr>
        <w:pStyle w:val="ListParagraph"/>
        <w:numPr>
          <w:ilvl w:val="1"/>
          <w:numId w:val="12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краткосрочную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долгосрочную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устойчивость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жизнеспособность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активы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капитал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ликвидность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прибыл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ь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убытки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DCED3FB" w14:textId="54ACE273" w:rsidR="00C72460" w:rsidRPr="00BC111A" w:rsidRDefault="0091374B" w:rsidP="00117DA6">
      <w:pPr>
        <w:pStyle w:val="ListParagraph"/>
        <w:numPr>
          <w:ilvl w:val="1"/>
          <w:numId w:val="12"/>
        </w:numPr>
        <w:tabs>
          <w:tab w:val="left" w:pos="426"/>
          <w:tab w:val="left" w:pos="1276"/>
        </w:tabs>
        <w:spacing w:after="0" w:line="240" w:lineRule="auto"/>
        <w:ind w:left="1092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устойчивость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F9F1B95" w14:textId="508A938F" w:rsidR="00C72460" w:rsidRPr="00BC111A" w:rsidRDefault="00927332" w:rsidP="00CC4C5E">
      <w:pPr>
        <w:pStyle w:val="ListParagraph"/>
        <w:numPr>
          <w:ilvl w:val="1"/>
          <w:numId w:val="12"/>
        </w:numPr>
        <w:tabs>
          <w:tab w:val="left" w:pos="426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коммуникационных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далее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– ИКТ)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юридические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D92F8F4" w14:textId="2323D4A6" w:rsidR="00AD778A" w:rsidRPr="00BC111A" w:rsidRDefault="00927332" w:rsidP="00117DA6">
      <w:pPr>
        <w:pStyle w:val="ListParagraph"/>
        <w:numPr>
          <w:ilvl w:val="1"/>
          <w:numId w:val="12"/>
        </w:numPr>
        <w:tabs>
          <w:tab w:val="left" w:pos="426"/>
          <w:tab w:val="left" w:pos="1276"/>
        </w:tabs>
        <w:spacing w:after="0" w:line="240" w:lineRule="auto"/>
        <w:ind w:left="1092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репутационные риски</w:t>
      </w:r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A659343" w14:textId="284A4772" w:rsidR="00AD778A" w:rsidRPr="00BC111A" w:rsidRDefault="004D7DEC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14B22A66" w14:textId="7174BB38" w:rsidR="00C72460" w:rsidRPr="00BC111A" w:rsidRDefault="00EE2534" w:rsidP="00117DA6">
      <w:pPr>
        <w:pStyle w:val="ListParagraph"/>
        <w:numPr>
          <w:ilvl w:val="2"/>
          <w:numId w:val="12"/>
        </w:numPr>
        <w:tabs>
          <w:tab w:val="left" w:pos="426"/>
          <w:tab w:val="left" w:pos="993"/>
          <w:tab w:val="left" w:pos="1442"/>
        </w:tabs>
        <w:spacing w:after="0" w:line="240" w:lineRule="auto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7BB9136" w14:textId="74A12BD4" w:rsidR="00C72460" w:rsidRPr="00BC111A" w:rsidRDefault="00EE2534" w:rsidP="00117DA6">
      <w:pPr>
        <w:pStyle w:val="ListParagraph"/>
        <w:numPr>
          <w:ilvl w:val="2"/>
          <w:numId w:val="12"/>
        </w:numPr>
        <w:tabs>
          <w:tab w:val="left" w:pos="426"/>
          <w:tab w:val="left" w:pos="993"/>
          <w:tab w:val="left" w:pos="1442"/>
        </w:tabs>
        <w:spacing w:after="0" w:line="240" w:lineRule="auto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актов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A400D6B" w14:textId="3BF0E36C" w:rsidR="00AD778A" w:rsidRPr="00BC111A" w:rsidRDefault="00EE2534" w:rsidP="00CE2042">
      <w:pPr>
        <w:pStyle w:val="ListParagraph"/>
        <w:numPr>
          <w:ilvl w:val="2"/>
          <w:numId w:val="12"/>
        </w:numPr>
        <w:tabs>
          <w:tab w:val="left" w:pos="426"/>
          <w:tab w:val="left" w:pos="1442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AE549ED" w14:textId="53A07FA7" w:rsidR="00C72460" w:rsidRPr="00BC111A" w:rsidRDefault="00884389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отенциального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влияния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предоставляемые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своим</w:t>
      </w:r>
      <w:proofErr w:type="spellEnd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A3CC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клиентам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2A9CB8F" w14:textId="6A169C6F" w:rsidR="00C72460" w:rsidRPr="00BC111A" w:rsidRDefault="00B26587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подверженность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совокупное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84389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0926005" w14:textId="5151E47F" w:rsidR="00C72460" w:rsidRPr="00BC111A" w:rsidRDefault="00B26587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размера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затронутой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DF80C7C" w14:textId="39864A9F" w:rsidR="00C72460" w:rsidRPr="00BC111A" w:rsidRDefault="00B26587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продления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замены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пересмотра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84389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</w:t>
      </w:r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2D57DD9" w14:textId="485CA342" w:rsidR="0098652F" w:rsidRPr="00BC111A" w:rsidRDefault="0098652F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желаемо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у,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практике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предполагаемые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препятствия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временн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интервал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(«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замен</w:t>
      </w:r>
      <w:r w:rsidR="00752D3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яемость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»)</w:t>
      </w:r>
      <w:r w:rsidR="00752D3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;</w:t>
      </w:r>
    </w:p>
    <w:p w14:paraId="69D77293" w14:textId="0F3BCB47" w:rsidR="00C72460" w:rsidRPr="00BC111A" w:rsidRDefault="00752D37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возможность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желательно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E8D42DD" w14:textId="23B5ADBF" w:rsidR="00AD778A" w:rsidRPr="00BC111A" w:rsidRDefault="00DF389A" w:rsidP="00117DA6">
      <w:pPr>
        <w:pStyle w:val="ListParagraph"/>
        <w:numPr>
          <w:ilvl w:val="0"/>
          <w:numId w:val="1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нарушения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неспособности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целостность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133/2011,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ограничиваясь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этим</w:t>
      </w:r>
      <w:proofErr w:type="spellEnd"/>
      <w:r w:rsidR="00AD778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A56D479" w14:textId="5CC8BCEB" w:rsidR="00A31885" w:rsidRPr="00BC111A" w:rsidRDefault="00525EA1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02DC38DE" w14:textId="1C98B3A9" w:rsidR="00EE6287" w:rsidRPr="00BC111A" w:rsidRDefault="00525EA1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четкое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предоставлена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685D135" w14:textId="0BD73130" w:rsidR="00EE6287" w:rsidRPr="00BC111A" w:rsidRDefault="00525EA1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начала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2FDBA31" w14:textId="3CEAAFED" w:rsidR="00EE6287" w:rsidRPr="00BC111A" w:rsidRDefault="00522A24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договору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A340C15" w14:textId="1C240323" w:rsidR="00EE6287" w:rsidRPr="00BC111A" w:rsidRDefault="00522A24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6686DD9" w14:textId="18F6FD51" w:rsidR="00EE6287" w:rsidRPr="00BC111A" w:rsidRDefault="00D62059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C590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2C590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27</w:t>
      </w:r>
      <w:r w:rsidR="002C590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2C590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29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подчиняется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E90E473" w14:textId="000E5784" w:rsidR="00EE6287" w:rsidRPr="00BC111A" w:rsidRDefault="00B90E3F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(а),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обрабатываются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(а)</w:t>
      </w:r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C8D76F6" w14:textId="300C2BCC" w:rsidR="00EE6287" w:rsidRPr="00BC111A" w:rsidRDefault="00BA64F4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сли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касающиеся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доступности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целостности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gramStart"/>
      <w:r w:rsidR="002C590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30</w:t>
      </w:r>
      <w:r w:rsidR="00B90E3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2C590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32</w:t>
      </w:r>
      <w:proofErr w:type="gram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30427C9" w14:textId="5DF8EF13" w:rsidR="00EE6287" w:rsidRPr="00BC111A" w:rsidRDefault="00E70BE5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касающейся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EA6C859" w14:textId="380C4430" w:rsidR="00EE6287" w:rsidRPr="00BC111A" w:rsidRDefault="00CC57B4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количественные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целевые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производительности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своевременный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корректирующие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неоправданной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задержки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E533504" w14:textId="66FF43CF" w:rsidR="00EE6287" w:rsidRPr="00BC111A" w:rsidRDefault="00720A29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событиях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оказать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согласованными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службы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A707C80" w14:textId="35D32106" w:rsidR="00EE6287" w:rsidRPr="00BC111A" w:rsidRDefault="000A7FA6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страхование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требуемый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уровень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страхования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32677604" w14:textId="07EAA9D4" w:rsidR="00EE6287" w:rsidRPr="00BC111A" w:rsidRDefault="000A7FA6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внедрению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тестированию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непредвиденных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2FB21E9" w14:textId="4D0009DF" w:rsidR="00EE6287" w:rsidRPr="00BC111A" w:rsidRDefault="000A7FA6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гарантируют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хранящаяся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несостоятельности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резолюции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экономических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45E4485" w14:textId="3F091CA5" w:rsidR="00EE6287" w:rsidRPr="00BC111A" w:rsidRDefault="00BD4567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сотрудничать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EB50DA7" w14:textId="5BFCBEEA" w:rsidR="00EE6287" w:rsidRPr="00BC111A" w:rsidRDefault="00653298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неограниченное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27786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A27786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39</w:t>
      </w:r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5E73F27" w14:textId="308652C6" w:rsidR="00A31885" w:rsidRPr="00BC111A" w:rsidRDefault="00653298" w:rsidP="00117DA6">
      <w:pPr>
        <w:pStyle w:val="ListParagraph"/>
        <w:numPr>
          <w:ilvl w:val="0"/>
          <w:numId w:val="1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27786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40</w:t>
      </w:r>
      <w:r w:rsidR="00A2778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A27786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41</w:t>
      </w:r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91CF3E5" w14:textId="3B77C8F2" w:rsidR="00A31885" w:rsidRPr="00BC111A" w:rsidRDefault="00A3200F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4" w:name="_Ref13116560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подлежащей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себе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т.е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большая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зарегистрировать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F157E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45</w:t>
      </w:r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4"/>
    </w:p>
    <w:p w14:paraId="66C59D30" w14:textId="4EDD779F" w:rsidR="00A31885" w:rsidRPr="00BC111A" w:rsidRDefault="008F5A5C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45ECD6DE" w14:textId="45DF5F85" w:rsidR="00036141" w:rsidRPr="00BC111A" w:rsidRDefault="008F5A5C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виды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исключаемые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субподряда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1745E85" w14:textId="0FD9F5B2" w:rsidR="00036141" w:rsidRPr="00BC111A" w:rsidRDefault="00680641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субподряда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708422A" w14:textId="74B237CF" w:rsidR="00036141" w:rsidRPr="00BC111A" w:rsidRDefault="00A2101D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62E5A74" w14:textId="3C86189B" w:rsidR="00036141" w:rsidRPr="00BC111A" w:rsidRDefault="00A2101D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специального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прежде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C44CADE" w14:textId="1E1F0C46" w:rsidR="00036141" w:rsidRPr="00BC111A" w:rsidRDefault="007E4558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планируемом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повлиять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Сюда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входят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планируемые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существенные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субподрядчиков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устанавливаемый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позволять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который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</w:t>
      </w:r>
      <w:proofErr w:type="spellEnd"/>
      <w:r w:rsidR="00D300F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т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значительную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оценку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предлагаемых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изменений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противостоять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изменениям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запланированный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существенные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вступят</w:t>
      </w:r>
      <w:proofErr w:type="spellEnd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2C28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силу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97F0617" w14:textId="5E93A204" w:rsidR="00036141" w:rsidRPr="00BC111A" w:rsidRDefault="00BF157A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возражать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против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запланированного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требуется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одобрение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0ACD412" w14:textId="6B54424D" w:rsidR="00A31885" w:rsidRPr="00BC111A" w:rsidRDefault="00BF157A" w:rsidP="00117DA6">
      <w:pPr>
        <w:pStyle w:val="ListParagraph"/>
        <w:numPr>
          <w:ilvl w:val="0"/>
          <w:numId w:val="1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расторгнуть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необоснованного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увеличивает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предписано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455B05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.</w:t>
      </w:r>
    </w:p>
    <w:p w14:paraId="6150B3BE" w14:textId="4AADF66A" w:rsidR="00A31885" w:rsidRPr="00BC111A" w:rsidRDefault="00C12717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5" w:name="_Ref123202792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Start w:id="16" w:name="_Ref175146312"/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согласиться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только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обязуется</w:t>
      </w:r>
      <w:proofErr w:type="spellEnd"/>
      <w:r w:rsidR="000848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15"/>
      <w:bookmarkEnd w:id="16"/>
    </w:p>
    <w:p w14:paraId="5E44E4E2" w14:textId="542C63B7" w:rsidR="00701254" w:rsidRPr="00BC111A" w:rsidRDefault="00084803" w:rsidP="00117DA6">
      <w:pPr>
        <w:pStyle w:val="ListParagraph"/>
        <w:numPr>
          <w:ilvl w:val="0"/>
          <w:numId w:val="1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регламента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актов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7DFC26E" w14:textId="435F4B5B" w:rsidR="00A31885" w:rsidRPr="00BC111A" w:rsidRDefault="00BB6999" w:rsidP="00117DA6">
      <w:pPr>
        <w:pStyle w:val="ListParagraph"/>
        <w:numPr>
          <w:ilvl w:val="0"/>
          <w:numId w:val="1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3188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8B1C875" w14:textId="31FCBF9A" w:rsidR="008B14AB" w:rsidRPr="00BC111A" w:rsidRDefault="00143581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принадлежит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="008B14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41BA246F" w14:textId="1E9C0DD9" w:rsidR="006D741C" w:rsidRPr="00BC111A" w:rsidRDefault="007E1648" w:rsidP="00117DA6">
      <w:pPr>
        <w:pStyle w:val="ListParagraph"/>
        <w:numPr>
          <w:ilvl w:val="0"/>
          <w:numId w:val="1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ли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проинформированы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8B14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A98F841" w14:textId="4823AFDD" w:rsidR="006D741C" w:rsidRPr="00BC111A" w:rsidRDefault="007E1648" w:rsidP="00117DA6">
      <w:pPr>
        <w:pStyle w:val="ListParagraph"/>
        <w:numPr>
          <w:ilvl w:val="0"/>
          <w:numId w:val="1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</w:t>
      </w:r>
      <w:proofErr w:type="spellEnd"/>
      <w:r w:rsidR="00B14C8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л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краткое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="008B14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2A2554E" w14:textId="50FB572F" w:rsidR="006D741C" w:rsidRPr="00BC111A" w:rsidRDefault="00B14C8A" w:rsidP="00117DA6">
      <w:pPr>
        <w:pStyle w:val="ListParagraph"/>
        <w:numPr>
          <w:ilvl w:val="0"/>
          <w:numId w:val="1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индивидуальный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неоправданной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задержки</w:t>
      </w:r>
      <w:proofErr w:type="spellEnd"/>
      <w:r w:rsidR="008B14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C8730D5" w14:textId="0F33694B" w:rsidR="006D741C" w:rsidRPr="00BC111A" w:rsidRDefault="00B14C8A" w:rsidP="00117DA6">
      <w:pPr>
        <w:pStyle w:val="ListParagraph"/>
        <w:numPr>
          <w:ilvl w:val="0"/>
          <w:numId w:val="1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="008B14A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0C936F41" w14:textId="77777777" w:rsidR="006D741C" w:rsidRPr="00BC111A" w:rsidRDefault="006D741C" w:rsidP="003C600D">
      <w:pPr>
        <w:tabs>
          <w:tab w:val="left" w:pos="1276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</w:p>
    <w:p w14:paraId="79AEA3DD" w14:textId="4FFC0D4D" w:rsidR="007E45F8" w:rsidRPr="00BC111A" w:rsidRDefault="00B14C8A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7E45F8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2</w:t>
      </w:r>
    </w:p>
    <w:p w14:paraId="6AD44A23" w14:textId="4AD76921" w:rsidR="007E45F8" w:rsidRPr="00BC111A" w:rsidRDefault="003F7B04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Договорная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стадия</w:t>
      </w:r>
      <w:proofErr w:type="spellEnd"/>
    </w:p>
    <w:p w14:paraId="7518A2C7" w14:textId="1A8083CE" w:rsidR="007E45F8" w:rsidRPr="00BC111A" w:rsidRDefault="000C5E1B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7" w:name="_Ref12320280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надлежащий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предлагаемый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неблагоприятные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увеличению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457F2F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27</w:t>
      </w:r>
      <w:r w:rsidR="00457F2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возражать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против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,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7"/>
    </w:p>
    <w:p w14:paraId="4D299438" w14:textId="2E3FBEDF" w:rsidR="007E45F8" w:rsidRPr="00BC111A" w:rsidRDefault="000C5E1B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8" w:name="_Ref123203190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18"/>
    </w:p>
    <w:p w14:paraId="4F27FFC9" w14:textId="277D00E5" w:rsidR="007E45F8" w:rsidRPr="00BC111A" w:rsidRDefault="007C613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контексте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ИКТ-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91EBA46" w14:textId="57F763A1" w:rsidR="007E45F8" w:rsidRPr="00BC111A" w:rsidRDefault="00FA1EDA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19" w:name="_Ref123203204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ущерба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F0318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особенно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рубежом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различия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государства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себя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защищать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A23DA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персональную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80F92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уязвиму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ю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юридические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аналогичные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неообходимости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).</w:t>
      </w:r>
      <w:bookmarkEnd w:id="19"/>
    </w:p>
    <w:p w14:paraId="3ADCF808" w14:textId="74C3C681" w:rsidR="007E45F8" w:rsidRPr="00BC111A" w:rsidRDefault="005C16D3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0" w:name="_Ref12320338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используя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риск-ориентированный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20"/>
    </w:p>
    <w:p w14:paraId="4A241443" w14:textId="2BF720D7" w:rsidR="007E45F8" w:rsidRPr="00BC111A" w:rsidRDefault="00F03183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значим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посредством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3BC63127" w14:textId="09E59CC7" w:rsidR="004D3CF1" w:rsidRPr="00BC111A" w:rsidRDefault="002530BE" w:rsidP="00117DA6">
      <w:pPr>
        <w:pStyle w:val="ListParagraph"/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оперативным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помещениям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9B22C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централь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офисам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спектр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устройств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сетей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используемых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(«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</w:t>
      </w:r>
      <w:proofErr w:type="spellEnd"/>
      <w:r w:rsidR="00437D3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»</w:t>
      </w:r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); </w:t>
      </w:r>
    </w:p>
    <w:p w14:paraId="1C5469E5" w14:textId="623F1436" w:rsidR="007E45F8" w:rsidRPr="00BC111A" w:rsidRDefault="00A8300F" w:rsidP="00117DA6">
      <w:pPr>
        <w:pStyle w:val="ListParagraph"/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неограниченные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(«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»),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позволяющие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законодательства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6D6F3EB8" w14:textId="32CFACE1" w:rsidR="007E45F8" w:rsidRPr="00BC111A" w:rsidRDefault="00772107" w:rsidP="00737BC4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="00E4124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значим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457F2F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457F2F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39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риск-ориентированного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масштабируемости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дальнейшее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функционирование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C9E8CCA" w14:textId="1BEEC20E" w:rsidR="007E45F8" w:rsidRPr="00BC111A" w:rsidRDefault="003322F2" w:rsidP="00737BC4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1" w:name="_Ref12320514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ущерба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конечной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использовать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21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322AC0FE" w14:textId="376D1318" w:rsidR="004D3CF1" w:rsidRPr="00BC111A" w:rsidRDefault="003322F2" w:rsidP="00117DA6">
      <w:pPr>
        <w:pStyle w:val="ListParagraph"/>
        <w:numPr>
          <w:ilvl w:val="0"/>
          <w:numId w:val="1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централизованные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организуемые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совместно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третьей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снижения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нагрузки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8A4DD3B" w14:textId="2EB63452" w:rsidR="007E45F8" w:rsidRPr="00BC111A" w:rsidRDefault="00A22232" w:rsidP="00117DA6">
      <w:pPr>
        <w:pStyle w:val="ListParagraph"/>
        <w:numPr>
          <w:ilvl w:val="0"/>
          <w:numId w:val="1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2" w:name="_Ref175147106"/>
      <w:proofErr w:type="spellStart"/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c</w:t>
      </w:r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ертифика</w:t>
      </w:r>
      <w:r w:rsidR="006B6538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ции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предоставленные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третьими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лицами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сторонние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предоставленные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4364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22"/>
    </w:p>
    <w:p w14:paraId="37C7CCB8" w14:textId="4C7301EE" w:rsidR="007E45F8" w:rsidRPr="00BC111A" w:rsidRDefault="0073611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упомянутые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457F2F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36.2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полагаться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исключительно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07056FBC" w14:textId="5CC093FD" w:rsidR="007E45F8" w:rsidRPr="00BC111A" w:rsidRDefault="0073611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метод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457F2F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36.2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только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32889CD6" w14:textId="5291A09A" w:rsidR="004D3CF1" w:rsidRPr="00BC111A" w:rsidRDefault="009803A0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огласны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с 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планом</w:t>
      </w:r>
      <w:proofErr w:type="spellEnd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213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B59DD70" w14:textId="4F871B4E" w:rsidR="004D3CF1" w:rsidRPr="00BC111A" w:rsidRDefault="009803A0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предмет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охватывает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инфраструктуру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т. д.)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средства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законодательства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CD73855" w14:textId="3F2B14AD" w:rsidR="004D3CF1" w:rsidRPr="00BC111A" w:rsidRDefault="0055644A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тщательно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проверяют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устарели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FEA2403" w14:textId="51ED53F9" w:rsidR="004D3CF1" w:rsidRPr="00BC111A" w:rsidRDefault="0045032A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обеспечи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ва</w:t>
      </w:r>
      <w:r w:rsidR="00B516D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средств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версии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аудите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FA6877D" w14:textId="22AE99CC" w:rsidR="004D3CF1" w:rsidRPr="00BC111A" w:rsidRDefault="00D658BD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пригодностью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проводящей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ротации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сертифицирующего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квалификации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доказательств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); </w:t>
      </w:r>
    </w:p>
    <w:p w14:paraId="727710E2" w14:textId="5505CB40" w:rsidR="004D3CF1" w:rsidRPr="00BC111A" w:rsidRDefault="00D658BD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выдача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широко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признанными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профессиональными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реализованных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средств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C3F0A20" w14:textId="63A0D3FF" w:rsidR="004D3CF1" w:rsidRPr="00BC111A" w:rsidRDefault="003D54D0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</w:t>
      </w:r>
      <w:proofErr w:type="spellEnd"/>
      <w:r w:rsidR="00B516D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ю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т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запрашивать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распространение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средства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количество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частота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объема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разумными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точки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8D977CF" w14:textId="5F48F8CB" w:rsidR="007E45F8" w:rsidRPr="00BC111A" w:rsidRDefault="003D54D0" w:rsidP="00117DA6">
      <w:pPr>
        <w:pStyle w:val="ListParagraph"/>
        <w:numPr>
          <w:ilvl w:val="0"/>
          <w:numId w:val="1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оставляют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отдельные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усмотрению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9D5FFD1" w14:textId="092A65D3" w:rsidR="007E45F8" w:rsidRPr="00BC111A" w:rsidRDefault="00BA1E11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3" w:name="_Ref13116594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третьи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разумные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исключением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невозможно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из-за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чрезвычайной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кризисной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приведет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перестанет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эффективным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23"/>
    </w:p>
    <w:p w14:paraId="0B599AFF" w14:textId="0C22D1F2" w:rsidR="007E45F8" w:rsidRPr="00BC111A" w:rsidRDefault="00832AD9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4" w:name="_Ref12320366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прямо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расторгнуть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ситуациях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24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1EAB4435" w14:textId="3692A340" w:rsidR="00C90069" w:rsidRPr="00BC111A" w:rsidRDefault="00832AD9" w:rsidP="00117DA6">
      <w:pPr>
        <w:pStyle w:val="ListParagraph"/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нарушает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63216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DFB1F60" w14:textId="54E606B1" w:rsidR="00C90069" w:rsidRPr="00BC111A" w:rsidRDefault="00471628" w:rsidP="00117DA6">
      <w:pPr>
        <w:pStyle w:val="ListParagraph"/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препятствия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461E097" w14:textId="6C862B02" w:rsidR="00C90069" w:rsidRPr="00BC111A" w:rsidRDefault="00E05966" w:rsidP="00117DA6">
      <w:pPr>
        <w:pStyle w:val="ListParagraph"/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произошли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смена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); </w:t>
      </w:r>
    </w:p>
    <w:p w14:paraId="51798177" w14:textId="5001B442" w:rsidR="00C90069" w:rsidRPr="00BC111A" w:rsidRDefault="00E05966" w:rsidP="00117DA6">
      <w:pPr>
        <w:pStyle w:val="ListParagraph"/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личных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уязвимых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 и</w:t>
      </w:r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0A1B1226" w14:textId="2EC296C0" w:rsidR="007E45F8" w:rsidRPr="00BC111A" w:rsidRDefault="00A013F0" w:rsidP="00117DA6">
      <w:pPr>
        <w:pStyle w:val="ListParagraph"/>
        <w:numPr>
          <w:ilvl w:val="0"/>
          <w:numId w:val="2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исправлению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предписанных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 d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vertAlign w:val="superscript"/>
          <w:lang w:val="ru-RU"/>
        </w:rPr>
        <w:t>1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(2)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99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</w:t>
      </w:r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B93DFC5" w14:textId="1223A906" w:rsidR="007E45F8" w:rsidRPr="00BC111A" w:rsidRDefault="00A013F0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5" w:name="_Ref12320368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способствовать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25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6BF9117A" w14:textId="68C0CAA7" w:rsidR="00C90069" w:rsidRPr="00BC111A" w:rsidRDefault="0031451A" w:rsidP="00117DA6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четко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оговаривать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действующего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4B18825" w14:textId="450CEB7C" w:rsidR="00C90069" w:rsidRPr="00BC111A" w:rsidRDefault="00D644B3" w:rsidP="00117DA6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переходный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продолжает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снизить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перебоев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0A44E09" w14:textId="4391ED5B" w:rsidR="007E45F8" w:rsidRPr="00BC111A" w:rsidRDefault="00D644B3" w:rsidP="00117DA6">
      <w:pPr>
        <w:pStyle w:val="ListParagraph"/>
        <w:numPr>
          <w:ilvl w:val="0"/>
          <w:numId w:val="2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упорядоченной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="007E45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1008311" w14:textId="72F5DD3B" w:rsidR="00BD0BA1" w:rsidRPr="00BC111A" w:rsidRDefault="002B19F9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6" w:name="_Ref123206055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периодически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институциональной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схемы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полагаться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централизованно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деятельности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BD0BA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26"/>
    </w:p>
    <w:p w14:paraId="34B4DEA2" w14:textId="56F3130C" w:rsidR="00DA30D5" w:rsidRPr="00BC111A" w:rsidRDefault="00BD0BA1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Start w:id="27" w:name="_Ref123206067"/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="00BE7F1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ухудшится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неприемлемого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уровня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станет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несоответствующим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неплатежеспособности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политические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юрисдикции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B19F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27"/>
    </w:p>
    <w:p w14:paraId="06557B68" w14:textId="3D3873B2" w:rsidR="008B3C60" w:rsidRPr="00BC111A" w:rsidRDefault="00700109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8B3C60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3</w:t>
      </w:r>
    </w:p>
    <w:p w14:paraId="237CF402" w14:textId="01227F67" w:rsidR="008B3C60" w:rsidRPr="00BC111A" w:rsidRDefault="0075602B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учету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аутсорсинга</w:t>
      </w:r>
      <w:proofErr w:type="spellEnd"/>
    </w:p>
    <w:p w14:paraId="5927E57A" w14:textId="05A18329" w:rsidR="008B3C60" w:rsidRPr="00BC111A" w:rsidRDefault="00D645CF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обновленный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текущие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различие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входящие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центральном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AD040AB" w14:textId="72FEC1E2" w:rsidR="00BB4BB2" w:rsidRPr="00BC111A" w:rsidRDefault="006E24AF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28" w:name="_Ref123203852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существующим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28"/>
    </w:p>
    <w:p w14:paraId="070E9483" w14:textId="31141CC3" w:rsidR="00AF2006" w:rsidRPr="00BC111A" w:rsidRDefault="006E24AF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ссылочный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каждого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1661248" w14:textId="62FA2F8B" w:rsidR="00AF2006" w:rsidRPr="00BC111A" w:rsidRDefault="006E24AF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дату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начала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продления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909B8BB" w14:textId="462EA0FB" w:rsidR="00AF2006" w:rsidRPr="00BC111A" w:rsidRDefault="00BE7F13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к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раткое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передаются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сведения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были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переданы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«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»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«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нет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» в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отдельном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поле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передана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обработка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</w:t>
      </w:r>
      <w:proofErr w:type="spellEnd"/>
      <w:r w:rsidR="0096742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г</w:t>
      </w:r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29" w:name="_Ref175147365"/>
    </w:p>
    <w:bookmarkEnd w:id="29"/>
    <w:p w14:paraId="48674FC5" w14:textId="32FED125" w:rsidR="00AF2006" w:rsidRPr="00BC111A" w:rsidRDefault="00587B22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категория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присвоенная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отражает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410D76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45.3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т. д.),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облегчить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идентификацию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различных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типов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30" w:name="_Ref175147524"/>
    </w:p>
    <w:bookmarkEnd w:id="30"/>
    <w:p w14:paraId="1BFB5360" w14:textId="071869ED" w:rsidR="00AF2006" w:rsidRPr="00BC111A" w:rsidRDefault="00523EE5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государственный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идентификационный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адрес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зарегистрированного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офиса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контактные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материнского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);</w:t>
      </w:r>
    </w:p>
    <w:p w14:paraId="72BC752E" w14:textId="1CF952D2" w:rsidR="00AF2006" w:rsidRPr="00BC111A" w:rsidRDefault="00523EE5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(т. е.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регион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21B9AB5" w14:textId="3232CD76" w:rsidR="00AF2006" w:rsidRPr="00BC111A" w:rsidRDefault="00523EE5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причин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55F57E4" w14:textId="45FD6B01" w:rsidR="00AF2006" w:rsidRPr="00BC111A" w:rsidRDefault="0098557A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</w:t>
      </w:r>
      <w:proofErr w:type="spellEnd"/>
      <w:r w:rsidR="002104E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ч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B953B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729AACB" w14:textId="1F840F17" w:rsidR="00BB4BB2" w:rsidRPr="00BC111A" w:rsidRDefault="0098557A" w:rsidP="00117DA6">
      <w:pPr>
        <w:pStyle w:val="ListParagraph"/>
        <w:numPr>
          <w:ilvl w:val="0"/>
          <w:numId w:val="2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т. д.</w:t>
      </w:r>
      <w:r w:rsidR="00B953B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="00BB4BB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5C53E93" w14:textId="7A8AB3D3" w:rsidR="004C4E13" w:rsidRPr="00BC111A" w:rsidRDefault="00DC089C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6C96B0E1" w14:textId="30F7F0F7" w:rsidR="00AF2006" w:rsidRPr="00BC111A" w:rsidRDefault="00DC089C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услуг-субподрядчик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независимо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принадлежит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B082664" w14:textId="4448D773" w:rsidR="00AF2006" w:rsidRPr="00BC111A" w:rsidRDefault="00E24F1F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краткое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результатов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CD1FAE0" w14:textId="7AA0A3A8" w:rsidR="00AF2006" w:rsidRPr="00BC111A" w:rsidRDefault="00E24F1F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утвердивший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113250C" w14:textId="2A708093" w:rsidR="00AF2006" w:rsidRPr="00BC111A" w:rsidRDefault="00966AB3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47BDFE5" w14:textId="3648B99E" w:rsidR="00AF2006" w:rsidRPr="00BC111A" w:rsidRDefault="006A0018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3AB53EF" w14:textId="16758B68" w:rsidR="00AF2006" w:rsidRPr="00BC111A" w:rsidRDefault="006A0018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зарегистрированы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(т. е.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регион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храниться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EB2682C" w14:textId="065513C4" w:rsidR="00AF2006" w:rsidRPr="00BC111A" w:rsidRDefault="0009392D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результат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взаимозаменяемости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простая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невозможная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нарушения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31" w:name="_Ref175147473"/>
    </w:p>
    <w:bookmarkEnd w:id="31"/>
    <w:p w14:paraId="0CA809E0" w14:textId="74AA56A0" w:rsidR="00AF2006" w:rsidRPr="00BC111A" w:rsidRDefault="00DF4F98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альтернативных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3409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46.7</w:t>
      </w:r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68FC759" w14:textId="2DCC9422" w:rsidR="00AF2006" w:rsidRPr="00BC111A" w:rsidRDefault="00DF4F98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экономические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критическими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точки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времени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FB9FCD9" w14:textId="139B7A88" w:rsidR="00A01599" w:rsidRPr="00BC111A" w:rsidRDefault="00AB5CB5" w:rsidP="00117DA6">
      <w:pPr>
        <w:pStyle w:val="ListParagraph"/>
        <w:numPr>
          <w:ilvl w:val="0"/>
          <w:numId w:val="2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стоимость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предполагаемого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бюджета</w:t>
      </w:r>
      <w:proofErr w:type="spellEnd"/>
      <w:r w:rsidR="004C4E1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AB337D6" w14:textId="75FA4D10" w:rsidR="00461373" w:rsidRPr="00BC111A" w:rsidRDefault="00AB5CB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либо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контрактов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либо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отдельные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попадают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категорий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3409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45.4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электронной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обычно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используемом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разделенные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запятыми</w:t>
      </w:r>
      <w:proofErr w:type="spellEnd"/>
      <w:r w:rsidR="0046137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).</w:t>
      </w:r>
    </w:p>
    <w:p w14:paraId="0A16975C" w14:textId="1E6B42C5" w:rsidR="004926C0" w:rsidRPr="00BC111A" w:rsidRDefault="00050357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копию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46137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B49C131" w14:textId="0F97E9FB" w:rsidR="00E61948" w:rsidRPr="00BC111A" w:rsidRDefault="00EC4229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ущерба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(1)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28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114/2012, </w:t>
      </w:r>
      <w:proofErr w:type="spellStart"/>
      <w:r w:rsidR="009A5DE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9A5DE5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9A5DE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надлежащим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своевременно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участвовать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диалоге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планируемого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упомянутую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3409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предварительное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D678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раз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</w:t>
      </w:r>
      <w:r w:rsidR="00AD678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ше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подав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3409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12</w:t>
      </w:r>
      <w:r w:rsidR="00E6194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6DC31B80" w14:textId="51F7EE04" w:rsidR="00362860" w:rsidRPr="00BC111A" w:rsidRDefault="00516AE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серьезных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событиях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оказать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серьезное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36286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6549856" w14:textId="61B96236" w:rsidR="007469FA" w:rsidRPr="00BC111A" w:rsidRDefault="00516AE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обновленную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="0036286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).</w:t>
      </w:r>
    </w:p>
    <w:p w14:paraId="32359420" w14:textId="67EB02B7" w:rsidR="00FB1A8A" w:rsidRPr="00BC111A" w:rsidRDefault="00EE3C2D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5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инциденте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динамике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зафиксированной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точки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неспособности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="00D8143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04130CFE" w14:textId="0471DA83" w:rsidR="00CA79CC" w:rsidRPr="00BC111A" w:rsidRDefault="00EE3C2D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CA79CC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III</w:t>
      </w:r>
    </w:p>
    <w:p w14:paraId="507BB87F" w14:textId="7053D6FC" w:rsidR="008E041E" w:rsidRPr="00BC111A" w:rsidRDefault="002C58D5" w:rsidP="0003517C">
      <w:pPr>
        <w:spacing w:after="120" w:line="240" w:lineRule="auto"/>
        <w:jc w:val="center"/>
        <w:rPr>
          <w:rFonts w:ascii="PermianSerifTypeface" w:hAnsi="PermianSerifTypeface"/>
          <w:b/>
          <w:strike/>
          <w:color w:val="000000" w:themeColor="text1"/>
          <w:sz w:val="24"/>
          <w:szCs w:val="24"/>
          <w:lang w:val="ru-RU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ОТВЕТСТВЕННОСТЬ ОРГАНА УПРАВЛЕНИЯ</w:t>
      </w:r>
    </w:p>
    <w:p w14:paraId="42A1534F" w14:textId="3DD41B38" w:rsidR="008E041E" w:rsidRPr="00BC111A" w:rsidRDefault="006A62DA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32" w:name="_Ref12320563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2"/>
    </w:p>
    <w:p w14:paraId="03358259" w14:textId="59C1DA87" w:rsidR="00C86D7B" w:rsidRPr="00BC111A" w:rsidRDefault="00152FF3" w:rsidP="00117DA6">
      <w:pPr>
        <w:pStyle w:val="ListParagraph"/>
        <w:numPr>
          <w:ilvl w:val="0"/>
          <w:numId w:val="2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лицензированным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6CD14AE" w14:textId="4F040D8D" w:rsidR="00C86D7B" w:rsidRPr="00BC111A" w:rsidRDefault="00152FF3" w:rsidP="00117DA6">
      <w:pPr>
        <w:pStyle w:val="ListParagraph"/>
        <w:numPr>
          <w:ilvl w:val="0"/>
          <w:numId w:val="2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внутреннюю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7678971" w14:textId="75FA01BC" w:rsidR="00C86D7B" w:rsidRPr="00BC111A" w:rsidRDefault="004B4A6B" w:rsidP="00117DA6">
      <w:pPr>
        <w:pStyle w:val="ListParagraph"/>
        <w:numPr>
          <w:ilvl w:val="0"/>
          <w:numId w:val="2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</w:t>
      </w:r>
      <w:proofErr w:type="spellEnd"/>
      <w:r w:rsidR="004B73B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7DDA408" w14:textId="1A0AB112" w:rsidR="00C86D7B" w:rsidRPr="00BC111A" w:rsidRDefault="004B4A6B" w:rsidP="00117DA6">
      <w:pPr>
        <w:pStyle w:val="ListParagraph"/>
        <w:numPr>
          <w:ilvl w:val="0"/>
          <w:numId w:val="2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бизнес-модель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склонность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);</w:t>
      </w:r>
    </w:p>
    <w:p w14:paraId="4462F0A3" w14:textId="593410A6" w:rsidR="00171F3B" w:rsidRPr="00BC111A" w:rsidRDefault="004B4A6B" w:rsidP="00117DA6">
      <w:pPr>
        <w:pStyle w:val="ListParagraph"/>
        <w:numPr>
          <w:ilvl w:val="0"/>
          <w:numId w:val="2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ежедневного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="008E04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39D6E16" w14:textId="5C004C54" w:rsidR="0040057B" w:rsidRPr="00BC111A" w:rsidRDefault="00773FF6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должен</w:t>
      </w:r>
      <w:r w:rsidR="004005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415CE518" w14:textId="00BC14A8" w:rsidR="00A11F7C" w:rsidRPr="00BC111A" w:rsidRDefault="00773FF6" w:rsidP="00117DA6">
      <w:pPr>
        <w:pStyle w:val="ListParagraph"/>
        <w:numPr>
          <w:ilvl w:val="0"/>
          <w:numId w:val="2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четко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распределять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4005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6E005E5" w14:textId="5CF5F213" w:rsidR="00A11F7C" w:rsidRPr="00BC111A" w:rsidRDefault="00773FF6" w:rsidP="00117DA6">
      <w:pPr>
        <w:pStyle w:val="ListParagraph"/>
        <w:numPr>
          <w:ilvl w:val="0"/>
          <w:numId w:val="2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выделять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документацией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4005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873F57C" w14:textId="7CF000E3" w:rsidR="0040057B" w:rsidRPr="00BC111A" w:rsidRDefault="00502A22" w:rsidP="00117DA6">
      <w:pPr>
        <w:pStyle w:val="ListParagraph"/>
        <w:numPr>
          <w:ilvl w:val="0"/>
          <w:numId w:val="2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lastRenderedPageBreak/>
        <w:t xml:space="preserve">с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принципа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пропорциональности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указанного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4,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авлива</w:t>
      </w:r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ть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назначить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выполняющее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ключевую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несет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прямую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ответственность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аутсорсинговыми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ами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документацией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C17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четкое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разделение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задач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контролю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438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4005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0C23347" w14:textId="14ADA1A5" w:rsidR="00EC4922" w:rsidRPr="00BC111A" w:rsidRDefault="007C170C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всегда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сохранять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2247DB19" w14:textId="66690186" w:rsidR="00DE248C" w:rsidRPr="00BC111A" w:rsidRDefault="004012FA" w:rsidP="00117DA6">
      <w:pPr>
        <w:pStyle w:val="ListParagraph"/>
        <w:numPr>
          <w:ilvl w:val="0"/>
          <w:numId w:val="2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3316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53</w:t>
      </w:r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33" w:name="_Ref175148195"/>
    </w:p>
    <w:bookmarkEnd w:id="33"/>
    <w:p w14:paraId="314026DB" w14:textId="753F9C1C" w:rsidR="00DE248C" w:rsidRPr="00BC111A" w:rsidRDefault="004012FA" w:rsidP="00117DA6">
      <w:pPr>
        <w:pStyle w:val="ListParagraph"/>
        <w:numPr>
          <w:ilvl w:val="0"/>
          <w:numId w:val="2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четкую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прозрачную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позволяющую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EF6DFE8" w14:textId="1E214A67" w:rsidR="00DE248C" w:rsidRPr="00BC111A" w:rsidRDefault="006D6E8F" w:rsidP="00117DA6">
      <w:pPr>
        <w:pStyle w:val="ListParagraph"/>
        <w:numPr>
          <w:ilvl w:val="0"/>
          <w:numId w:val="2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оперативные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внутригруппового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состоянии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возникающими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34" w:name="_Ref175148204"/>
    </w:p>
    <w:bookmarkEnd w:id="34"/>
    <w:p w14:paraId="4516A4EF" w14:textId="0B14EB64" w:rsidR="00EC4922" w:rsidRPr="00BC111A" w:rsidRDefault="006D6E8F" w:rsidP="0073316A">
      <w:pPr>
        <w:pStyle w:val="ListParagraph"/>
        <w:numPr>
          <w:ilvl w:val="0"/>
          <w:numId w:val="26"/>
        </w:numPr>
        <w:tabs>
          <w:tab w:val="left" w:pos="426"/>
          <w:tab w:val="left" w:pos="993"/>
          <w:tab w:val="left" w:pos="1276"/>
        </w:tabs>
        <w:spacing w:after="20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подпунктов</w:t>
      </w:r>
      <w:proofErr w:type="spellEnd"/>
      <w:r w:rsidR="00B96F0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3316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55.1</w:t>
      </w:r>
      <w:r w:rsidR="00E76B0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73316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55.3</w:t>
      </w:r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F595124" w14:textId="3C9713AD" w:rsidR="00E061B4" w:rsidRPr="00BC111A" w:rsidRDefault="00EF34C7" w:rsidP="0073316A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20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намеревающегося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утвердить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внедрить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периодически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обновлять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обновлениями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превышать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12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месяцев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охватывающую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аспекты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изложенные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1A048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58</w:t>
      </w:r>
      <w:r w:rsidR="00E061B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D237FC6" w14:textId="3F51F823" w:rsidR="00EC4922" w:rsidRPr="00BC111A" w:rsidRDefault="000B5F2B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Start w:id="35" w:name="_Ref163743664"/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аутсорсинге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EF34C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5"/>
    </w:p>
    <w:p w14:paraId="381F6E20" w14:textId="110E40E3" w:rsidR="00DE248C" w:rsidRPr="00BC111A" w:rsidRDefault="00E47358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реализовывать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предпринимательской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0656FEC" w14:textId="05876095" w:rsidR="00DE02B4" w:rsidRPr="00BC111A" w:rsidRDefault="00E47358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поддерживают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порядок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8C50AA5" w14:textId="5F32F72D" w:rsidR="00DE02B4" w:rsidRPr="00BC111A" w:rsidRDefault="006C6FAB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текущими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планируемыми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смягчаются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ИКТ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технологиями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B71B7E3" w14:textId="18DF313A" w:rsidR="00DE02B4" w:rsidRPr="00BC111A" w:rsidRDefault="006C6FAB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AFF96AB" w14:textId="4D43216F" w:rsidR="00DE02B4" w:rsidRPr="00BC111A" w:rsidRDefault="00546169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поддерживается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40265AA" w14:textId="6A38BE0F" w:rsidR="00EC4922" w:rsidRPr="00BC111A" w:rsidRDefault="00546169" w:rsidP="00117DA6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хотя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времени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60DB77AA" w14:textId="0ADA9E1B" w:rsidR="008E6749" w:rsidRPr="00BC111A" w:rsidRDefault="00722D43" w:rsidP="00722D43">
      <w:pPr>
        <w:pStyle w:val="ListParagraph"/>
        <w:tabs>
          <w:tab w:val="left" w:pos="720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1A048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.6.1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передача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альтернативным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73D709B" w14:textId="7FF02581" w:rsidR="008E6749" w:rsidRPr="00BC111A" w:rsidRDefault="00722D43" w:rsidP="00722D43">
      <w:pPr>
        <w:pStyle w:val="ListParagraph"/>
        <w:tabs>
          <w:tab w:val="left" w:pos="720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1A048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.6.2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реинтеграция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4BCEF80" w14:textId="3ADBD2CE" w:rsidR="00EC4922" w:rsidRPr="00BC111A" w:rsidRDefault="00722D43" w:rsidP="001A0482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1A048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.6.3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прерывание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деловой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зависит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D6AE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EC49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2ECE28D6" w14:textId="5A1DCE83" w:rsidR="008B3484" w:rsidRPr="00E02EF2" w:rsidRDefault="001A0482" w:rsidP="00A00653">
      <w:pPr>
        <w:pStyle w:val="ListParagraph"/>
        <w:numPr>
          <w:ilvl w:val="0"/>
          <w:numId w:val="2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  <w:r w:rsidRPr="00E02EF2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персональные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обрабатываются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пределами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применяются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адекватные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обрабатываются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касающейся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обработки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073E7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EC4922" w:rsidRPr="00E02E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48869EE" w14:textId="77777777" w:rsidR="00E02EF2" w:rsidRPr="00E02EF2" w:rsidRDefault="00E02EF2" w:rsidP="00E02EF2">
      <w:pPr>
        <w:pStyle w:val="ListParagraph"/>
        <w:tabs>
          <w:tab w:val="left" w:pos="426"/>
          <w:tab w:val="left" w:pos="993"/>
          <w:tab w:val="left" w:pos="1276"/>
        </w:tabs>
        <w:spacing w:after="0" w:line="240" w:lineRule="auto"/>
        <w:ind w:left="709"/>
        <w:contextualSpacing w:val="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</w:p>
    <w:p w14:paraId="2E46103D" w14:textId="6029632A" w:rsidR="008B2427" w:rsidRPr="00BC111A" w:rsidRDefault="00B073E7" w:rsidP="00717FEB">
      <w:pPr>
        <w:spacing w:after="240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8B242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IV</w:t>
      </w:r>
    </w:p>
    <w:p w14:paraId="2448FBBB" w14:textId="18E1E94E" w:rsidR="007B5177" w:rsidRPr="00BC111A" w:rsidRDefault="00042E20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ПОЛИТИКА АУТСОГСИНГА</w:t>
      </w:r>
    </w:p>
    <w:p w14:paraId="5E242437" w14:textId="31D1B8EF" w:rsidR="00923368" w:rsidRPr="00BC111A" w:rsidRDefault="00923368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Start w:id="36" w:name="_Ref123205457"/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Политика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определять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принципы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обязанности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процессы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нацелены</w:t>
      </w:r>
      <w:proofErr w:type="spellEnd"/>
      <w:r w:rsidR="00042E20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на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6"/>
    </w:p>
    <w:p w14:paraId="71335D7D" w14:textId="5A2C0E4B" w:rsidR="00212B39" w:rsidRPr="00BC111A" w:rsidRDefault="00042E20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зависимости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обстоятельств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17490C0" w14:textId="32260C00" w:rsidR="00212B39" w:rsidRPr="00BC111A" w:rsidRDefault="00AA4ED1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вовлечение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CBE7EBB" w14:textId="3AC632C9" w:rsidR="00923368" w:rsidRPr="00BC111A" w:rsidRDefault="00AA4ED1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6FC4C636" w14:textId="67A3E778" w:rsidR="00212B39" w:rsidRPr="00BC111A" w:rsidRDefault="00AA4ED1" w:rsidP="008B3484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бизнес-требований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договоров аутсорсинга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CEF1676" w14:textId="4B5E1435" w:rsidR="00212B39" w:rsidRPr="00BC111A" w:rsidRDefault="007D152F" w:rsidP="00874CE6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упомянутые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</w:t>
      </w:r>
      <w:r w:rsidR="008B348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23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80D9950" w14:textId="0B8E10AC" w:rsidR="00212B39" w:rsidRPr="00BC111A" w:rsidRDefault="007D152F" w:rsidP="00874CE6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идентификация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86813AD" w14:textId="151440E3" w:rsidR="00212B39" w:rsidRPr="00BC111A" w:rsidRDefault="00A80A39" w:rsidP="00874CE6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добросовестности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требуемые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91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–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93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4BF07B4" w14:textId="4802000D" w:rsidR="00212B39" w:rsidRPr="00BC111A" w:rsidRDefault="00A80A39" w:rsidP="00874CE6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процедуры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смягчения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40C8CF4" w14:textId="29D8B177" w:rsidR="00212B39" w:rsidRPr="00BC111A" w:rsidRDefault="00A80A39" w:rsidP="008B3484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42</w:t>
      </w:r>
      <w:r w:rsidR="008B348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43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68C0640" w14:textId="791CFC37" w:rsidR="00923368" w:rsidRPr="00BC111A" w:rsidRDefault="00F853F6" w:rsidP="00117DA6">
      <w:pPr>
        <w:pStyle w:val="ListParagraph"/>
        <w:numPr>
          <w:ilvl w:val="2"/>
          <w:numId w:val="29"/>
        </w:numPr>
        <w:tabs>
          <w:tab w:val="left" w:pos="1276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4D8AC6E" w14:textId="4054B058" w:rsidR="00923368" w:rsidRPr="00BC111A" w:rsidRDefault="00F853F6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53E84DB1" w14:textId="2899350E" w:rsidR="00212B39" w:rsidRPr="00BC111A" w:rsidRDefault="00420D71" w:rsidP="00874CE6">
      <w:pPr>
        <w:spacing w:after="0" w:line="240" w:lineRule="auto"/>
        <w:ind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5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.4.1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непрерывная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="00F804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6083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V</w:t>
      </w:r>
      <w:r w:rsidR="00F8499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I</w:t>
      </w:r>
      <w:r w:rsidR="0026083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II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02BB4E3" w14:textId="4FFCA642" w:rsidR="00212B39" w:rsidRPr="00BC111A" w:rsidRDefault="00420D71" w:rsidP="008B3484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.4.2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процедуры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уведомления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ответа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поправки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договору</w:t>
      </w:r>
      <w:proofErr w:type="spellEnd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349F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8B3484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финансовое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организационные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имущественные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структуры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);</w:t>
      </w:r>
    </w:p>
    <w:p w14:paraId="2D282F41" w14:textId="00830170" w:rsidR="00212B39" w:rsidRPr="00BC111A" w:rsidRDefault="002A2A77" w:rsidP="002A2A77">
      <w:pPr>
        <w:tabs>
          <w:tab w:val="left" w:pos="720"/>
        </w:tabs>
        <w:spacing w:after="0" w:line="240" w:lineRule="auto"/>
        <w:ind w:left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.4.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независимая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правовой</w:t>
      </w:r>
      <w:proofErr w:type="spellEnd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E79C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F663127" w14:textId="32E99082" w:rsidR="00923368" w:rsidRPr="00BC111A" w:rsidRDefault="002A2A77" w:rsidP="002A2A77">
      <w:pPr>
        <w:tabs>
          <w:tab w:val="left" w:pos="720"/>
        </w:tabs>
        <w:spacing w:after="0" w:line="240" w:lineRule="auto"/>
        <w:ind w:left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.4.</w:t>
      </w:r>
      <w:r w:rsidR="008B348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CB0955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процессы обновления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A8566F1" w14:textId="1778BCC2" w:rsidR="00212B39" w:rsidRPr="00BC111A" w:rsidRDefault="00CB0955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ведение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записей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Части 3 Главы</w:t>
      </w:r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96C8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II</w:t>
      </w:r>
      <w:r w:rsidR="008B2836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;</w:t>
      </w:r>
    </w:p>
    <w:p w14:paraId="359DDCFC" w14:textId="56DA59F4" w:rsidR="00923368" w:rsidRPr="00BC111A" w:rsidRDefault="00696168" w:rsidP="00117DA6">
      <w:pPr>
        <w:pStyle w:val="ListParagraph"/>
        <w:numPr>
          <w:ilvl w:val="0"/>
          <w:numId w:val="2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наличии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каждой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передаваемой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перебоев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неожиданного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9233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0E084EC" w14:textId="53ECB370" w:rsidR="007B5177" w:rsidRPr="00BC111A" w:rsidRDefault="00696168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дифференцировать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7B517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3176C12F" w14:textId="30536199" w:rsidR="00D01548" w:rsidRPr="00BC111A" w:rsidRDefault="00696168" w:rsidP="00117DA6">
      <w:pPr>
        <w:pStyle w:val="ListParagraph"/>
        <w:numPr>
          <w:ilvl w:val="0"/>
          <w:numId w:val="3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7B517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38C5DA8" w14:textId="37076915" w:rsidR="00D01548" w:rsidRPr="00BC111A" w:rsidRDefault="00A93FF0" w:rsidP="00117DA6">
      <w:pPr>
        <w:pStyle w:val="ListParagraph"/>
        <w:numPr>
          <w:ilvl w:val="0"/>
          <w:numId w:val="3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="007B517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47CC9A3" w14:textId="51C7F8F9" w:rsidR="00D01548" w:rsidRPr="00BC111A" w:rsidRDefault="00475812" w:rsidP="00117DA6">
      <w:pPr>
        <w:pStyle w:val="ListParagraph"/>
        <w:numPr>
          <w:ilvl w:val="0"/>
          <w:numId w:val="3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внутригрупповые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входящим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группу</w:t>
      </w:r>
      <w:proofErr w:type="spellEnd"/>
      <w:r w:rsidR="007B517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3A45BFEC" w14:textId="22037F51" w:rsidR="007B5177" w:rsidRPr="00BC111A" w:rsidRDefault="00475812" w:rsidP="00117DA6">
      <w:pPr>
        <w:pStyle w:val="ListParagraph"/>
        <w:numPr>
          <w:ilvl w:val="0"/>
          <w:numId w:val="3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находящихся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рубежом</w:t>
      </w:r>
      <w:proofErr w:type="spellEnd"/>
      <w:r w:rsidR="007B517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F1E7EC4" w14:textId="6295AEDA" w:rsidR="00DD26F3" w:rsidRPr="00BC111A" w:rsidRDefault="001B5016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охватывала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последствий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учитывались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решений</w:t>
      </w:r>
      <w:proofErr w:type="spellEnd"/>
      <w:r w:rsidR="00DD26F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2FF20F74" w14:textId="6BBAFA51" w:rsidR="00DD26F3" w:rsidRPr="00BC111A" w:rsidRDefault="001B5016" w:rsidP="00117DA6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профиль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83DD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4479E58" w14:textId="71FFDB60" w:rsidR="00DD26F3" w:rsidRPr="00BC111A" w:rsidRDefault="001B5016" w:rsidP="00117DA6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DD26F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A928190" w14:textId="5F1536EE" w:rsidR="00DD26F3" w:rsidRPr="00BC111A" w:rsidRDefault="001B5016" w:rsidP="00117DA6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DD26F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394D2202" w14:textId="61E38022" w:rsidR="00DD26F3" w:rsidRPr="00BC111A" w:rsidRDefault="00B741DD" w:rsidP="00117DA6">
      <w:pPr>
        <w:pStyle w:val="ListParagraph"/>
        <w:numPr>
          <w:ilvl w:val="0"/>
          <w:numId w:val="3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осуществление своей деловой деятельности</w:t>
      </w:r>
      <w:r w:rsidR="00DD26F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4F69741" w14:textId="06B177D7" w:rsidR="000F5141" w:rsidRPr="00BC111A" w:rsidRDefault="00B741DD" w:rsidP="003C600D">
      <w:pPr>
        <w:spacing w:before="240"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357982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r w:rsidR="000F5141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V </w:t>
      </w:r>
    </w:p>
    <w:p w14:paraId="345E4135" w14:textId="77777777" w:rsidR="00B741DD" w:rsidRPr="00BC111A" w:rsidRDefault="00B741DD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ТРЕБОВАНИЯ К АУДИТУ</w:t>
      </w:r>
    </w:p>
    <w:p w14:paraId="359289D7" w14:textId="100F41DC" w:rsidR="00330819" w:rsidRPr="00BC111A" w:rsidRDefault="00B741DD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330819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1</w:t>
      </w:r>
    </w:p>
    <w:p w14:paraId="7AA10367" w14:textId="72F2D402" w:rsidR="00330819" w:rsidRPr="00BC111A" w:rsidRDefault="00B741DD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деятельности</w:t>
      </w:r>
      <w:proofErr w:type="spellEnd"/>
    </w:p>
    <w:p w14:paraId="5A425722" w14:textId="5BEFE161" w:rsidR="00337853" w:rsidRPr="00BC111A" w:rsidRDefault="00055B39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охватывать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независимую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программа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4A9D1A1" w14:textId="4559A91D" w:rsidR="00F3714D" w:rsidRPr="00BC111A" w:rsidRDefault="00B7045E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информационно-коммуникационных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далее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– ИКТ-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один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CISA</w:t>
      </w:r>
      <w:r w:rsidR="00F3714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2F8EB28" w14:textId="6EB2D79E" w:rsidR="00337853" w:rsidRPr="00BC111A" w:rsidRDefault="00B7045E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подтвердить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40390C9C" w14:textId="25C0E322" w:rsidR="00DC5BAF" w:rsidRPr="00BC111A" w:rsidRDefault="000A41CC" w:rsidP="00117DA6">
      <w:pPr>
        <w:pStyle w:val="ListParagraph"/>
        <w:numPr>
          <w:ilvl w:val="0"/>
          <w:numId w:val="3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правильное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внедрение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действующим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B41E3EA" w14:textId="1BB987DE" w:rsidR="00DC5BAF" w:rsidRPr="00BC111A" w:rsidRDefault="000A41CC" w:rsidP="00117DA6">
      <w:pPr>
        <w:pStyle w:val="ListParagraph"/>
        <w:numPr>
          <w:ilvl w:val="0"/>
          <w:numId w:val="3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A2FB582" w14:textId="1441239A" w:rsidR="00DC5BAF" w:rsidRPr="00BC111A" w:rsidRDefault="004215F8" w:rsidP="00117DA6">
      <w:pPr>
        <w:pStyle w:val="ListParagraph"/>
        <w:numPr>
          <w:ilvl w:val="0"/>
          <w:numId w:val="3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поддержания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учреждения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CAFE870" w14:textId="2061E0AA" w:rsidR="00DC5BAF" w:rsidRPr="00BC111A" w:rsidRDefault="004215F8" w:rsidP="00117DA6">
      <w:pPr>
        <w:pStyle w:val="ListParagraph"/>
        <w:numPr>
          <w:ilvl w:val="0"/>
          <w:numId w:val="3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912028E" w14:textId="630926DD" w:rsidR="00337853" w:rsidRPr="00BC111A" w:rsidRDefault="006268D7" w:rsidP="00117DA6">
      <w:pPr>
        <w:pStyle w:val="ListParagraph"/>
        <w:numPr>
          <w:ilvl w:val="0"/>
          <w:numId w:val="3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надлежащий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33785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6632A34" w14:textId="574F5300" w:rsidR="00330819" w:rsidRPr="00BC111A" w:rsidRDefault="006268D7" w:rsidP="003C600D">
      <w:pPr>
        <w:jc w:val="center"/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u-RU"/>
        </w:rPr>
        <w:t>Часть</w:t>
      </w:r>
      <w:r w:rsidR="00330819"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 2</w:t>
      </w:r>
    </w:p>
    <w:p w14:paraId="17B60F00" w14:textId="6C110E99" w:rsidR="005F293E" w:rsidRPr="00BC111A" w:rsidRDefault="00E91D07" w:rsidP="003B7448">
      <w:pPr>
        <w:tabs>
          <w:tab w:val="left" w:pos="1276"/>
        </w:tabs>
        <w:spacing w:after="0" w:line="240" w:lineRule="auto"/>
        <w:ind w:firstLine="720"/>
        <w:jc w:val="center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субъекту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осуществляющему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внешний</w:t>
      </w:r>
      <w:proofErr w:type="spellEnd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bCs/>
          <w:color w:val="000000" w:themeColor="text1"/>
          <w:sz w:val="24"/>
          <w:szCs w:val="24"/>
          <w:lang w:val="ro-RO"/>
        </w:rPr>
        <w:t>аудит</w:t>
      </w:r>
      <w:proofErr w:type="spellEnd"/>
    </w:p>
    <w:p w14:paraId="7587CC30" w14:textId="39B01E97" w:rsidR="006D6DC0" w:rsidRPr="00BC111A" w:rsidRDefault="00E91D07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37" w:name="_Ref16374244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ежегодный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37"/>
    </w:p>
    <w:p w14:paraId="75B13762" w14:textId="2C735F8F" w:rsidR="006D6DC0" w:rsidRPr="00BC111A" w:rsidRDefault="006D6DC0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bookmarkStart w:id="38" w:name="_Ref163742470"/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утверждает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совокупности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соответствует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следующим</w:t>
      </w:r>
      <w:proofErr w:type="spellEnd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9D5FE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8"/>
    </w:p>
    <w:p w14:paraId="2AA6A4D0" w14:textId="68712BA5" w:rsidR="006D6DC0" w:rsidRPr="00BC111A" w:rsidRDefault="009D5FE3" w:rsidP="00117DA6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менее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лет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60D7CEE" w14:textId="1ECA2113" w:rsidR="006D6DC0" w:rsidRPr="00BC111A" w:rsidRDefault="009D5FE3" w:rsidP="00117DA6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аналогичные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E7E873B" w14:textId="76E4A3B0" w:rsidR="006D6DC0" w:rsidRPr="00BC111A" w:rsidRDefault="009D5FE3" w:rsidP="00117DA6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</w:t>
      </w:r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ий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субъект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миссии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лучшим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практикам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r w:rsidR="00676C6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</w:p>
    <w:p w14:paraId="3716DB4B" w14:textId="08DBDDF4" w:rsidR="006D6DC0" w:rsidRPr="00BC111A" w:rsidRDefault="0084407B" w:rsidP="00117DA6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картами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74E9CC9E" w14:textId="379E0A51" w:rsidR="0084407B" w:rsidRPr="00BC111A" w:rsidRDefault="00DC792D" w:rsidP="00874CE6">
      <w:pPr>
        <w:tabs>
          <w:tab w:val="left" w:pos="720"/>
          <w:tab w:val="left" w:pos="1418"/>
        </w:tabs>
        <w:spacing w:after="0" w:line="240" w:lineRule="auto"/>
        <w:ind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</w:t>
      </w:r>
      <w:r w:rsidR="0010589D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.4.1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аудиторская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квалификацию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QSA,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подлежит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ежегодному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аудиту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проводимому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организацией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имеющей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квалификацию</w:t>
      </w:r>
      <w:proofErr w:type="spellEnd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QSA, </w:t>
      </w:r>
      <w:proofErr w:type="spellStart"/>
      <w:r w:rsidR="0084407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</w:p>
    <w:p w14:paraId="0BC74C93" w14:textId="2EB25EB1" w:rsidR="006D6DC0" w:rsidRPr="00BC111A" w:rsidRDefault="00DC792D" w:rsidP="00874CE6">
      <w:pPr>
        <w:tabs>
          <w:tab w:val="left" w:pos="720"/>
          <w:tab w:val="left" w:pos="1418"/>
        </w:tabs>
        <w:spacing w:after="0" w:line="240" w:lineRule="auto"/>
        <w:ind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</w:t>
      </w:r>
      <w:r w:rsidR="0010589D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.4.2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один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нанятой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квалификацию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CISA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CISSP,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подлежит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ежегодному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проводимому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организацией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имеющей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квалификацию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QSA, и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доступен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="0032133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367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7D14CE9" w14:textId="4B46A8BF" w:rsidR="006D6DC0" w:rsidRPr="00BC111A" w:rsidRDefault="00B367C0" w:rsidP="00117DA6">
      <w:pPr>
        <w:pStyle w:val="ListParagraph"/>
        <w:numPr>
          <w:ilvl w:val="0"/>
          <w:numId w:val="3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информационно-коммуникационных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далее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– ИКТ-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один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CISA</w:t>
      </w:r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3808F9B" w14:textId="0BE77F40" w:rsidR="006D6DC0" w:rsidRPr="00BC111A" w:rsidRDefault="00452965" w:rsidP="003C600D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39" w:name="_Ref163805395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приложением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6A3E0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39"/>
    </w:p>
    <w:p w14:paraId="78228F60" w14:textId="34ED88F2" w:rsidR="00011B5C" w:rsidRPr="00BC111A" w:rsidRDefault="00452965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протокола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собрания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акционеров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участников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зависимости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обстоятельств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743CB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0E35A1F" w14:textId="39781FC2" w:rsidR="00011B5C" w:rsidRPr="00BC111A" w:rsidRDefault="00820AFE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описание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графика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планируемой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аудируемого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="00011B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D054808" w14:textId="17AB6A8F" w:rsidR="00011B5C" w:rsidRPr="00BC111A" w:rsidRDefault="002F5AE1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отсутствии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подписанное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руководителем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011B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EA91C8C" w14:textId="001AF44F" w:rsidR="00011B5C" w:rsidRPr="00BC111A" w:rsidRDefault="002F5AE1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собственную</w:t>
      </w:r>
      <w:proofErr w:type="spellEnd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  <w:proofErr w:type="spellStart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ответственность</w:t>
      </w:r>
      <w:proofErr w:type="spellEnd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независимост</w:t>
      </w:r>
      <w:proofErr w:type="spellEnd"/>
      <w:r w:rsidR="00C9459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команды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подписанное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руководителем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="00011B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r w:rsidR="00676C6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</w:t>
      </w:r>
    </w:p>
    <w:p w14:paraId="58B8DED4" w14:textId="26239DBB" w:rsidR="00011B5C" w:rsidRPr="00BC111A" w:rsidRDefault="00C94593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согласованный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362293DF" w14:textId="58DC85B0" w:rsidR="00947A68" w:rsidRPr="00BC111A" w:rsidRDefault="00C94593" w:rsidP="00117DA6">
      <w:pPr>
        <w:pStyle w:val="ListParagraph"/>
        <w:numPr>
          <w:ilvl w:val="2"/>
          <w:numId w:val="35"/>
        </w:numPr>
        <w:tabs>
          <w:tab w:val="left" w:pos="720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ц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78F91D9" w14:textId="3F66E819" w:rsidR="00947A68" w:rsidRPr="00BC111A" w:rsidRDefault="00E74DD0" w:rsidP="005B0A0E">
      <w:pPr>
        <w:pStyle w:val="ListParagraph"/>
        <w:numPr>
          <w:ilvl w:val="2"/>
          <w:numId w:val="3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подготовить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120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периода</w:t>
      </w:r>
      <w:proofErr w:type="spellEnd"/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9DB28BF" w14:textId="2AB3BC38" w:rsidR="00947A68" w:rsidRPr="00BC111A" w:rsidRDefault="00E74DD0" w:rsidP="005B0A0E">
      <w:pPr>
        <w:pStyle w:val="ListParagraph"/>
        <w:numPr>
          <w:ilvl w:val="2"/>
          <w:numId w:val="3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бухгалтерском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№ 287/2017</w:t>
      </w:r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7B6E4FB" w14:textId="69E2E6C3" w:rsidR="00947A68" w:rsidRPr="00BC111A" w:rsidRDefault="00E74DD0" w:rsidP="005B0A0E">
      <w:pPr>
        <w:pStyle w:val="ListParagraph"/>
        <w:numPr>
          <w:ilvl w:val="2"/>
          <w:numId w:val="3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уведомить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3973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3973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относящейся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766FD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5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</w:t>
      </w:r>
      <w:proofErr w:type="spellEnd"/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ABA5647" w14:textId="7E8DA5A4" w:rsidR="00947A68" w:rsidRPr="00BC111A" w:rsidRDefault="007E4DAA" w:rsidP="005B0A0E">
      <w:pPr>
        <w:pStyle w:val="ListParagraph"/>
        <w:numPr>
          <w:ilvl w:val="2"/>
          <w:numId w:val="3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обязанность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миссии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(2)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30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Закона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№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114/2012 </w:t>
      </w:r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нарушением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обязанност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возлагается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влечь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характера</w:t>
      </w:r>
      <w:proofErr w:type="spellEnd"/>
      <w:r w:rsidR="00947A6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7495F28" w14:textId="6AD79F6E" w:rsidR="00011B5C" w:rsidRPr="00BC111A" w:rsidRDefault="007A2542" w:rsidP="00117DA6">
      <w:pPr>
        <w:pStyle w:val="ListParagraph"/>
        <w:numPr>
          <w:ilvl w:val="0"/>
          <w:numId w:val="3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BB2F8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обучении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профессиональной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подготовке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команды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проверяемых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0D644C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65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приложением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копий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подтверждающих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A94D70" w:rsidRPr="00A94D7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соответствие которых оригиналу подтверждено собственноручной или квалифицированной электронной подписью органа управления/члена органа управления</w:t>
      </w:r>
      <w:r w:rsidR="00A94D70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264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F264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264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F264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F2646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011B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54D225D" w14:textId="4C62527E" w:rsidR="006A3E03" w:rsidRPr="00BC111A" w:rsidRDefault="00D763B7" w:rsidP="00182050">
      <w:pPr>
        <w:pStyle w:val="ListParagraph"/>
        <w:tabs>
          <w:tab w:val="left" w:pos="284"/>
          <w:tab w:val="left" w:pos="993"/>
          <w:tab w:val="left" w:pos="1134"/>
        </w:tabs>
        <w:spacing w:after="120" w:line="240" w:lineRule="auto"/>
        <w:ind w:left="0" w:firstLine="68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фамилию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занимаемая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</w:t>
      </w:r>
      <w:proofErr w:type="spellEnd"/>
      <w:r w:rsidR="00E02EF2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обществ</w:t>
      </w:r>
      <w:proofErr w:type="spellEnd"/>
      <w:r w:rsidR="00E02EF2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коллектива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обучении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сертификатах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название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учебного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заведения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год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серия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номер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диплома</w:t>
      </w:r>
      <w:proofErr w:type="spellEnd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/</w:t>
      </w:r>
      <w:proofErr w:type="spellStart"/>
      <w:r w:rsidRPr="000D644C">
        <w:rPr>
          <w:rFonts w:ascii="PermianSerifTypeface" w:hAnsi="PermianSerifTypeface"/>
          <w:i/>
          <w:iCs/>
          <w:color w:val="000000" w:themeColor="text1"/>
          <w:sz w:val="24"/>
          <w:szCs w:val="24"/>
          <w:lang w:val="ro-RO"/>
        </w:rPr>
        <w:t>сертификата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команде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</w:t>
      </w:r>
      <w:r w:rsidR="00011B5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r w:rsidR="00676C6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   </w:t>
      </w:r>
    </w:p>
    <w:p w14:paraId="4C34686D" w14:textId="6D0C3EDC" w:rsidR="00661C27" w:rsidRPr="00BC111A" w:rsidRDefault="000730D5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0" w:name="_Ref163806415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Заявление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прилагаемые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E7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румынском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языке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A94D70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94D70" w:rsidRPr="00D0415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в копиях, соответствие которых оригиналу подтверждено </w:t>
      </w:r>
      <w:r w:rsidR="00A94D70" w:rsidRPr="00D04150">
        <w:rPr>
          <w:rFonts w:ascii="PermianSerifTypeface" w:hAnsi="PermianSerifTypeface"/>
          <w:sz w:val="24"/>
          <w:szCs w:val="24"/>
          <w:lang w:val="ru-RU"/>
        </w:rPr>
        <w:t xml:space="preserve">собственноручной </w:t>
      </w:r>
      <w:r w:rsidR="00A94D70" w:rsidRPr="00D0415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или квалифицированной электронной подписью органа управления/члена органа управления небанковской платежной системы, в течение </w:t>
      </w:r>
      <w:r w:rsidR="00A94D70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20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рабочих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момента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собранием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акционеров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участников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зависимости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обстоятельств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членом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уполномоченным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пакета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отказывает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назначенного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информируя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8094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bookmarkEnd w:id="40"/>
    </w:p>
    <w:p w14:paraId="00626579" w14:textId="77E35E7C" w:rsidR="00E04E17" w:rsidRPr="00BC111A" w:rsidRDefault="000730D5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полноту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E7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66</w:t>
      </w:r>
      <w:r w:rsidR="00AE76F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="00A94D70" w:rsidRPr="00D04150">
        <w:rPr>
          <w:rStyle w:val="docheader"/>
          <w:rFonts w:ascii="PermianSerifTypeface" w:hAnsi="PermianSerifTypeface"/>
          <w:bCs/>
          <w:color w:val="000000"/>
          <w:sz w:val="24"/>
          <w:szCs w:val="24"/>
          <w:lang w:val="ru-RU"/>
        </w:rPr>
        <w:t>, имея право требовать от небанковского поставщика платежных услуг предоставления любых документов, указанных в пункте 66, в оригинале, когда сочтет это необходимым</w:t>
      </w:r>
      <w:r w:rsidR="00E04E1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85013A8" w14:textId="560D229A" w:rsidR="002E30C6" w:rsidRPr="00BC111A" w:rsidRDefault="00A72104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1" w:name="_Ref163806541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неполными</w:t>
      </w:r>
      <w:proofErr w:type="spellEnd"/>
      <w:r w:rsidR="000D6C6C" w:rsidRPr="000D6C6C">
        <w:rPr>
          <w:rFonts w:ascii="PermianSerifTypeface" w:hAnsi="PermianSerifTypeface"/>
          <w:sz w:val="24"/>
          <w:szCs w:val="24"/>
          <w:lang w:val="ru-RU"/>
        </w:rPr>
        <w:t xml:space="preserve"> </w:t>
      </w:r>
      <w:r w:rsidR="000D6C6C" w:rsidRPr="00D04150">
        <w:rPr>
          <w:rFonts w:ascii="PermianSerifTypeface" w:hAnsi="PermianSerifTypeface"/>
          <w:sz w:val="24"/>
          <w:szCs w:val="24"/>
          <w:lang w:val="ru-RU"/>
        </w:rPr>
        <w:t>или, в зависимости от обстоятельств, необходимо представить их в оригинале в соответствии с пунктом 68</w:t>
      </w:r>
      <w:r w:rsidR="000D6C6C">
        <w:rPr>
          <w:rFonts w:ascii="PermianSerifTypeface" w:hAnsi="PermianSerifTypeface"/>
          <w:sz w:val="24"/>
          <w:szCs w:val="24"/>
          <w:lang w:val="ro-RO"/>
        </w:rPr>
        <w:t>,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устранить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предоставить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 w:cs="PermianSerifTypeface"/>
          <w:color w:val="000000" w:themeColor="text1"/>
          <w:sz w:val="24"/>
          <w:szCs w:val="24"/>
          <w:lang w:val="ro-RO"/>
        </w:rPr>
        <w:t>платежн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15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заполняет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="000D6C6C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0D6C6C" w:rsidRPr="00D04150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и/или оригинальные документы, затребованные согласно пункту </w:t>
      </w:r>
      <w:r w:rsidR="000D6C6C" w:rsidRPr="00D04150">
        <w:rPr>
          <w:rFonts w:ascii="PermianSerifTypeface" w:hAnsi="PermianSerifTypeface"/>
          <w:sz w:val="24"/>
          <w:szCs w:val="24"/>
          <w:lang w:val="ru-RU"/>
        </w:rPr>
        <w:t>68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30-дневный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AE7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начинает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представил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пакет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E04E1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41"/>
    </w:p>
    <w:p w14:paraId="16B56234" w14:textId="58CA6750" w:rsidR="00E04E17" w:rsidRPr="00BC111A" w:rsidRDefault="00A72104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470D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B470DB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="00B470D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устранит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запрошенные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69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процедуры</w:t>
      </w:r>
      <w:proofErr w:type="spellEnd"/>
      <w:r w:rsidR="0065164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A9DE603" w14:textId="7EF9E029" w:rsidR="006D6DC0" w:rsidRPr="00BC111A" w:rsidRDefault="000F23EC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отказе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утверждении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запрошенном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6068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56068F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="0056068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отказа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768DEF9B" w14:textId="69CE5DD8" w:rsidR="006D6DC0" w:rsidRPr="00BC111A" w:rsidRDefault="0056068F" w:rsidP="00117DA6">
      <w:pPr>
        <w:pStyle w:val="ListParagraph"/>
        <w:numPr>
          <w:ilvl w:val="0"/>
          <w:numId w:val="3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ошибочной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E2E0A70" w14:textId="67EA4379" w:rsidR="006D6DC0" w:rsidRPr="00BC111A" w:rsidRDefault="00097C61" w:rsidP="00117DA6">
      <w:pPr>
        <w:pStyle w:val="ListParagraph"/>
        <w:numPr>
          <w:ilvl w:val="0"/>
          <w:numId w:val="3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strike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несоответствие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хотя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65</w:t>
      </w:r>
      <w:r w:rsidRPr="00BC111A">
        <w:rPr>
          <w:rFonts w:ascii="PermianSerifTypeface" w:hAnsi="PermianSerifTypeface"/>
          <w:strike/>
          <w:color w:val="000000" w:themeColor="text1"/>
          <w:sz w:val="24"/>
          <w:szCs w:val="24"/>
          <w:lang w:val="ru-RU"/>
        </w:rPr>
        <w:t>;</w:t>
      </w:r>
    </w:p>
    <w:p w14:paraId="2272A9F5" w14:textId="5F8EB784" w:rsidR="006D6DC0" w:rsidRPr="00BC111A" w:rsidRDefault="00150BCA" w:rsidP="002D2BC6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ому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меньшей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аспекты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ограничиваясь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ими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1C132DED" w14:textId="2F3BCF9D" w:rsidR="006D6DC0" w:rsidRPr="00BC111A" w:rsidRDefault="001F195E" w:rsidP="00117DA6">
      <w:pPr>
        <w:pStyle w:val="ListParagraph"/>
        <w:numPr>
          <w:ilvl w:val="0"/>
          <w:numId w:val="3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CD58984" w14:textId="190F23E9" w:rsidR="006D6DC0" w:rsidRPr="00BC111A" w:rsidRDefault="008D565A" w:rsidP="00117DA6">
      <w:pPr>
        <w:pStyle w:val="ListParagraph"/>
        <w:numPr>
          <w:ilvl w:val="0"/>
          <w:numId w:val="3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709849D" w14:textId="5EFC23BC" w:rsidR="006D6DC0" w:rsidRPr="00BC111A" w:rsidRDefault="008D565A" w:rsidP="00117DA6">
      <w:pPr>
        <w:pStyle w:val="ListParagraph"/>
        <w:numPr>
          <w:ilvl w:val="0"/>
          <w:numId w:val="3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т. д.)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качественного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F1083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1F1083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F1083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1F1083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3315806" w14:textId="23F0EA25" w:rsidR="006D6DC0" w:rsidRPr="00BC111A" w:rsidRDefault="008D565A" w:rsidP="00117DA6">
      <w:pPr>
        <w:pStyle w:val="ListParagraph"/>
        <w:numPr>
          <w:ilvl w:val="0"/>
          <w:numId w:val="3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инцидентами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70AA19E" w14:textId="7B710E90" w:rsidR="006D6DC0" w:rsidRPr="00BC111A" w:rsidRDefault="00B25E59" w:rsidP="00117DA6">
      <w:pPr>
        <w:pStyle w:val="ListParagraph"/>
        <w:numPr>
          <w:ilvl w:val="0"/>
          <w:numId w:val="3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DE6F028" w14:textId="037E72A2" w:rsidR="006D6DC0" w:rsidRPr="00BC111A" w:rsidRDefault="00B25E59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2" w:name="_Ref163742560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инициирование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0236F2" w:rsidRPr="00023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представив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относительно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порядка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42"/>
    </w:p>
    <w:p w14:paraId="0F980C7F" w14:textId="10F5EB0D" w:rsidR="006D6DC0" w:rsidRPr="00BC111A" w:rsidRDefault="00B25E59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0236F2" w:rsidRPr="00023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инициативе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поручению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023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64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023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0236F2" w:rsidRPr="000236F2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0236F2" w:rsidRPr="001F1083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функциях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BE54A19" w14:textId="4236B485" w:rsidR="0020439E" w:rsidRPr="00BC111A" w:rsidRDefault="00F74547" w:rsidP="00717FE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24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10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дня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подписания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руководителем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руководителем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="006D6DC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9F00A8A" w14:textId="77777777" w:rsidR="004E7AB7" w:rsidRDefault="004E7AB7" w:rsidP="00717FEB">
      <w:pPr>
        <w:spacing w:after="24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</w:pPr>
    </w:p>
    <w:p w14:paraId="065892D4" w14:textId="423094AC" w:rsidR="0020439E" w:rsidRPr="00BC111A" w:rsidRDefault="00F74547" w:rsidP="00717FEB">
      <w:pPr>
        <w:spacing w:after="24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20439E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VI </w:t>
      </w:r>
    </w:p>
    <w:p w14:paraId="0F057828" w14:textId="02A0A37E" w:rsidR="0020439E" w:rsidRPr="00BC111A" w:rsidRDefault="00F74547" w:rsidP="0020439E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 ИНФОРМАЦИОННО-КОММУНИКАЦИОННЫХ ТЕХНОЛОГИЙ</w:t>
      </w:r>
    </w:p>
    <w:p w14:paraId="128BF2E5" w14:textId="69F4DBEE" w:rsidR="0020439E" w:rsidRPr="00BC111A" w:rsidRDefault="00FA24B0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намерены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системами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0E19175" w14:textId="0EA8D421" w:rsidR="0020439E" w:rsidRPr="00BC111A" w:rsidRDefault="00FA24B0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121F1B47" w14:textId="69990303" w:rsidR="00C038C7" w:rsidRPr="00BC111A" w:rsidRDefault="00FA24B0" w:rsidP="00117DA6">
      <w:pPr>
        <w:pStyle w:val="ListParagraph"/>
        <w:numPr>
          <w:ilvl w:val="0"/>
          <w:numId w:val="3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страхования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конкретных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низкую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вероятность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2BD1C70" w14:textId="315B3794" w:rsidR="0020439E" w:rsidRPr="00BC111A" w:rsidRDefault="001924D0" w:rsidP="00117DA6">
      <w:pPr>
        <w:pStyle w:val="ListParagraph"/>
        <w:numPr>
          <w:ilvl w:val="0"/>
          <w:numId w:val="3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касающиеся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372CDC74" w14:textId="45470DE4" w:rsidR="0020439E" w:rsidRPr="00BC111A" w:rsidRDefault="00A24134" w:rsidP="005B0A0E">
      <w:pPr>
        <w:pStyle w:val="ListParagraph"/>
        <w:numPr>
          <w:ilvl w:val="2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правила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а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стандарты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информационной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применимые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924D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F12305F" w14:textId="790141C7" w:rsidR="0020439E" w:rsidRPr="00BC111A" w:rsidRDefault="006930DA" w:rsidP="005B0A0E">
      <w:pPr>
        <w:pStyle w:val="ListParagraph"/>
        <w:numPr>
          <w:ilvl w:val="2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особые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представленные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хранят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персональные</w:t>
      </w:r>
      <w:proofErr w:type="spellEnd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D43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07D68B60" w14:textId="40455E1D" w:rsidR="0020439E" w:rsidRPr="00BC111A" w:rsidRDefault="006930DA" w:rsidP="005B0A0E">
      <w:pPr>
        <w:pStyle w:val="ListParagraph"/>
        <w:numPr>
          <w:ilvl w:val="2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обеспечению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доступности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целостности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информационной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системе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CAD93B4" w14:textId="04A8623B" w:rsidR="0020439E" w:rsidRPr="00BC111A" w:rsidRDefault="007A2F80" w:rsidP="005B0A0E">
      <w:pPr>
        <w:pStyle w:val="ListParagraph"/>
        <w:numPr>
          <w:ilvl w:val="2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бязанность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хранить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ИТ-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системах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базах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таким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идентификацию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экспорт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извлечение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удаление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запросу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A131B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1E28E4B" w14:textId="4038566D" w:rsidR="0020439E" w:rsidRPr="00BC111A" w:rsidRDefault="006930DA" w:rsidP="005B0A0E">
      <w:pPr>
        <w:pStyle w:val="ListParagraph"/>
        <w:numPr>
          <w:ilvl w:val="2"/>
          <w:numId w:val="3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относительно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времени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восстановления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считающихся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существенными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23E0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инцидентов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48E737E" w14:textId="5F249071" w:rsidR="0020439E" w:rsidRPr="00BC111A" w:rsidRDefault="00223E06" w:rsidP="00117DA6">
      <w:pPr>
        <w:pStyle w:val="ListParagraph"/>
        <w:numPr>
          <w:ilvl w:val="0"/>
          <w:numId w:val="38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ИКТ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77F190D9" w14:textId="5BF71747" w:rsidR="0020439E" w:rsidRPr="00BC111A" w:rsidRDefault="005E4F24" w:rsidP="005B0A0E">
      <w:pPr>
        <w:pStyle w:val="ListParagraph"/>
        <w:numPr>
          <w:ilvl w:val="2"/>
          <w:numId w:val="4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запрашивать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получать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неоправданной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задержки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аудиторские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резервные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копии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расследований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аудиторских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миссий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прерывания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отношений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любой</w:t>
      </w:r>
      <w:proofErr w:type="spellEnd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24156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причине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718D630" w14:textId="3144E6A5" w:rsidR="0020439E" w:rsidRPr="00BC111A" w:rsidRDefault="005E4F24" w:rsidP="005B0A0E">
      <w:pPr>
        <w:pStyle w:val="ListParagraph"/>
        <w:numPr>
          <w:ilvl w:val="2"/>
          <w:numId w:val="40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право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проводить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 с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использованием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цели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контрольных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отчетов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органов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надзора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В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зависимости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обстоятельств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случаях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проведения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тестов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проникновение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сторонних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1C100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FA522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8D8B82A" w14:textId="4735CE5D" w:rsidR="0020439E" w:rsidRPr="00BC111A" w:rsidRDefault="001C100C" w:rsidP="00182050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предпримет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72AEF8A3" w14:textId="2B2C067F" w:rsidR="00332F8B" w:rsidRPr="00BC111A" w:rsidRDefault="001C100C" w:rsidP="00117DA6">
      <w:pPr>
        <w:pStyle w:val="ListParagraph"/>
        <w:numPr>
          <w:ilvl w:val="0"/>
          <w:numId w:val="4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разработает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избежание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обслуживания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прерывания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bookmarkStart w:id="43" w:name="_Ref175149359"/>
    </w:p>
    <w:bookmarkEnd w:id="43"/>
    <w:p w14:paraId="405E7275" w14:textId="51ECB832" w:rsidR="0020439E" w:rsidRPr="00BC111A" w:rsidRDefault="00C4352A" w:rsidP="00117DA6">
      <w:pPr>
        <w:pStyle w:val="ListParagraph"/>
        <w:numPr>
          <w:ilvl w:val="0"/>
          <w:numId w:val="4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2215CE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78.1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содержала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0259B964" w14:textId="213C1105" w:rsidR="0020439E" w:rsidRPr="00BC111A" w:rsidRDefault="00336CA1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C4352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цели стратегии</w:t>
      </w:r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729DE5C" w14:textId="6D547D3F" w:rsidR="0020439E" w:rsidRPr="00BC111A" w:rsidRDefault="00C4352A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</w:t>
      </w:r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C444FA2" w14:textId="2C64B44B" w:rsidR="0020439E" w:rsidRPr="00BC111A" w:rsidRDefault="00D12F4F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организационно-технических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человеческих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3AFCD05" w14:textId="1D78F98A" w:rsidR="0020439E" w:rsidRPr="00BC111A" w:rsidRDefault="00920832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распределение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ролей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стратегией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A592A7C" w14:textId="049A4A4A" w:rsidR="0020439E" w:rsidRPr="00BC111A" w:rsidRDefault="00920832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успешные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9BF9F93" w14:textId="1D82A104" w:rsidR="0020439E" w:rsidRPr="00BC111A" w:rsidRDefault="00E274F3" w:rsidP="005B0A0E">
      <w:pPr>
        <w:pStyle w:val="ListParagraph"/>
        <w:numPr>
          <w:ilvl w:val="2"/>
          <w:numId w:val="4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6F31D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6F31D6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</w:t>
      </w:r>
      <w:r w:rsidR="006F31D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инициировать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759C402" w14:textId="6553715D" w:rsidR="0020439E" w:rsidRPr="00BC111A" w:rsidRDefault="006F31D6" w:rsidP="00117DA6">
      <w:pPr>
        <w:pStyle w:val="ListParagraph"/>
        <w:numPr>
          <w:ilvl w:val="0"/>
          <w:numId w:val="4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пересматривать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один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жизнеспособность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9C1795C" w14:textId="399273E3" w:rsidR="0020439E" w:rsidRPr="00BC111A" w:rsidRDefault="00AB4272" w:rsidP="00710EF7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чрезвычайных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крайней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аспекты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1E59A959" w14:textId="68935E42" w:rsidR="0020439E" w:rsidRPr="00BC111A" w:rsidRDefault="003C61DD" w:rsidP="00117DA6">
      <w:pPr>
        <w:pStyle w:val="ListParagraph"/>
        <w:numPr>
          <w:ilvl w:val="0"/>
          <w:numId w:val="4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выделение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территории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быстрого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восстановления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адаптации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неблагоприятным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крупного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инцидента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чрезвычайной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у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0C27686" w14:textId="7D7137D1" w:rsidR="0020439E" w:rsidRPr="00BC111A" w:rsidRDefault="003C61DD" w:rsidP="00117DA6">
      <w:pPr>
        <w:pStyle w:val="ListParagraph"/>
        <w:numPr>
          <w:ilvl w:val="0"/>
          <w:numId w:val="4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наличие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человеческих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обладающих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реинтеграции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замены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</w:t>
      </w:r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6F49DF8C" w14:textId="55390D54" w:rsidR="0020439E" w:rsidRPr="00BC111A" w:rsidRDefault="003E4250" w:rsidP="00117DA6">
      <w:pPr>
        <w:pStyle w:val="ListParagraph"/>
        <w:numPr>
          <w:ilvl w:val="0"/>
          <w:numId w:val="4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разработка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позволят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оптимальные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возобновить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офисах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="0020439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DE0343D" w14:textId="76C63B9D" w:rsidR="00FB1A8A" w:rsidRPr="00BC111A" w:rsidRDefault="003E4250" w:rsidP="00117DA6">
      <w:pPr>
        <w:pStyle w:val="ListParagraph"/>
        <w:numPr>
          <w:ilvl w:val="0"/>
          <w:numId w:val="4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совместно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тестирования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считающихся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восстановлением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офисе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2248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DAED7CD" w14:textId="485CBBB1" w:rsidR="007E18D3" w:rsidRPr="00BC111A" w:rsidRDefault="003E4250" w:rsidP="00717FEB">
      <w:pPr>
        <w:spacing w:after="24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7E18D3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V</w:t>
      </w:r>
      <w:r w:rsidR="00007813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I</w:t>
      </w:r>
      <w:r w:rsidR="00357982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I</w:t>
      </w:r>
    </w:p>
    <w:p w14:paraId="2516B04C" w14:textId="77777777" w:rsidR="00B177D3" w:rsidRPr="00BC111A" w:rsidRDefault="00B177D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УПРАВЛЕНИЕ РИСКАМИ И КОНФЛИКТАМИ ИНТЕРЕСОВ, СВЯЗАННЫМИ С АУТСОРСИНГОМ</w:t>
      </w:r>
    </w:p>
    <w:p w14:paraId="4FFD79BC" w14:textId="28002935" w:rsidR="00BD0AF7" w:rsidRPr="00BC111A" w:rsidRDefault="00B177D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BD0AF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r w:rsidR="00E009D8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1</w:t>
      </w:r>
    </w:p>
    <w:p w14:paraId="24D838C1" w14:textId="4CC5B009" w:rsidR="00BD0AF7" w:rsidRPr="00BC111A" w:rsidRDefault="00B177D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 xml:space="preserve">Управление рисками </w:t>
      </w:r>
    </w:p>
    <w:p w14:paraId="1CD53150" w14:textId="75540542" w:rsidR="003F297C" w:rsidRPr="00BC111A" w:rsidRDefault="002C615D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составлении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индивидуальный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профиль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бизнес-модель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достичь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базой</w:t>
      </w:r>
      <w:proofErr w:type="spellEnd"/>
      <w:r w:rsidR="003F297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55A24B4" w14:textId="2E76BEAE" w:rsidR="00914188" w:rsidRPr="00BC111A" w:rsidRDefault="002C615D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ежегодно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избежание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неоправданных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Период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превышать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12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месяцев</w:t>
      </w:r>
      <w:proofErr w:type="spellEnd"/>
      <w:r w:rsidR="0083561B" w:rsidRPr="00BC111A">
        <w:rPr>
          <w:rFonts w:ascii="PermianSerifTypeface" w:hAnsi="PermianSerifTypeface"/>
          <w:color w:val="000000" w:themeColor="text1"/>
          <w:sz w:val="24"/>
          <w:szCs w:val="24"/>
          <w:lang w:val="ro-MD"/>
        </w:rPr>
        <w:t>.</w:t>
      </w:r>
    </w:p>
    <w:p w14:paraId="60A21561" w14:textId="0163443D" w:rsidR="00171F3B" w:rsidRPr="00BC111A" w:rsidRDefault="00972251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сценарии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событий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события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очень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серьезного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сценариев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плохих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неадекватных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людьми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событиями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принцип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пропорциональности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упомянутый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D87B64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4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степень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увеличит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уменьшит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="003479A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3319FC34" w14:textId="4B28A924" w:rsidR="00761EBF" w:rsidRPr="00BC111A" w:rsidRDefault="005F689D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ожидаемые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выгоды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взвешивание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уменьшить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лучше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сравнению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предлагаемого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036B5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06ED224F" w14:textId="13C08393" w:rsidR="00761EBF" w:rsidRPr="00BC111A" w:rsidRDefault="00D036B5" w:rsidP="00117DA6">
      <w:pPr>
        <w:pStyle w:val="ListParagraph"/>
        <w:numPr>
          <w:ilvl w:val="0"/>
          <w:numId w:val="4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концентрации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64D33FE7" w14:textId="420FCF87" w:rsidR="000C2B27" w:rsidRPr="00BC111A" w:rsidRDefault="009E36F9" w:rsidP="00B63214">
      <w:pPr>
        <w:pStyle w:val="ListParagraph"/>
        <w:numPr>
          <w:ilvl w:val="2"/>
          <w:numId w:val="4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доминирующему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невозможно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легко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заменить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99C3EBE" w14:textId="399958F7" w:rsidR="00761EBF" w:rsidRPr="00BC111A" w:rsidRDefault="00786E53" w:rsidP="00B63214">
      <w:pPr>
        <w:pStyle w:val="ListParagraph"/>
        <w:numPr>
          <w:ilvl w:val="2"/>
          <w:numId w:val="45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множественных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A1FF841" w14:textId="55EC26BB" w:rsidR="00761EBF" w:rsidRPr="00BC111A" w:rsidRDefault="00A26547" w:rsidP="00117DA6">
      <w:pPr>
        <w:pStyle w:val="ListParagraph"/>
        <w:numPr>
          <w:ilvl w:val="0"/>
          <w:numId w:val="4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совокупных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возникающих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нескольких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-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совокупных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консолидированной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основе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8251EC4" w14:textId="4AF6C78F" w:rsidR="00761EBF" w:rsidRPr="00BC111A" w:rsidRDefault="006E7E2C" w:rsidP="00117DA6">
      <w:pPr>
        <w:pStyle w:val="ListParagraph"/>
        <w:numPr>
          <w:ilvl w:val="0"/>
          <w:numId w:val="4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снижения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7D76BAC" w14:textId="2CC8B9F3" w:rsidR="00761EBF" w:rsidRPr="00BC111A" w:rsidRDefault="006E7E2C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себя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важные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r w:rsidR="00AF1A1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небанковский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учесть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5D52B8DF" w14:textId="12AF6D3F" w:rsidR="000C2B27" w:rsidRPr="00BC111A" w:rsidRDefault="00AF1A13" w:rsidP="00117DA6">
      <w:pPr>
        <w:pStyle w:val="ListParagraph"/>
        <w:numPr>
          <w:ilvl w:val="0"/>
          <w:numId w:val="4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находится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рубежом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376E26E8" w14:textId="1704BB73" w:rsidR="00761EBF" w:rsidRPr="00BC111A" w:rsidRDefault="00AF1A13" w:rsidP="00117DA6">
      <w:pPr>
        <w:pStyle w:val="ListParagraph"/>
        <w:numPr>
          <w:ilvl w:val="0"/>
          <w:numId w:val="4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риск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длинные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цепочки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уменьшат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F2166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небанковского </w:t>
      </w:r>
      <w:proofErr w:type="spellStart"/>
      <w:r w:rsidR="00F2166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F21663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F2166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B445682" w14:textId="2B23F3E7" w:rsidR="00761EBF" w:rsidRPr="00BC111A" w:rsidRDefault="00F21663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4" w:name="_Ref176787374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57B7E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небанковский </w:t>
      </w:r>
      <w:proofErr w:type="spellStart"/>
      <w:r w:rsidR="00757B7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757B7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44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27B770AD" w14:textId="7BE5410A" w:rsidR="00761EBF" w:rsidRPr="00BC111A" w:rsidRDefault="00757B7E" w:rsidP="00117DA6">
      <w:pPr>
        <w:pStyle w:val="ListParagraph"/>
        <w:numPr>
          <w:ilvl w:val="0"/>
          <w:numId w:val="4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идентифицировать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классифицировать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точки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чувствительности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36A6035" w14:textId="12D08283" w:rsidR="00761EBF" w:rsidRPr="00BC111A" w:rsidRDefault="00757B7E" w:rsidP="00117DA6">
      <w:pPr>
        <w:pStyle w:val="ListParagraph"/>
        <w:numPr>
          <w:ilvl w:val="0"/>
          <w:numId w:val="4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углубленный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рассматриваются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устранить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юридические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ИКТ,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странами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храниться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2F9B668" w14:textId="4A85D138" w:rsidR="00761EBF" w:rsidRPr="00BC111A" w:rsidRDefault="00EF4D7A" w:rsidP="00117DA6">
      <w:pPr>
        <w:pStyle w:val="ListParagraph"/>
        <w:numPr>
          <w:ilvl w:val="0"/>
          <w:numId w:val="4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нахождения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пределами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Республики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Молдова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); </w:t>
      </w:r>
    </w:p>
    <w:p w14:paraId="20D795DD" w14:textId="0E6A1BBE" w:rsidR="00761EBF" w:rsidRPr="00BC111A" w:rsidRDefault="00EF4D7A" w:rsidP="00117DA6">
      <w:pPr>
        <w:pStyle w:val="ListParagraph"/>
        <w:numPr>
          <w:ilvl w:val="0"/>
          <w:numId w:val="4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политическую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стабильность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ситуацию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юрисдикциях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03991C94" w14:textId="61BA786C" w:rsidR="00772788" w:rsidRPr="00BC111A" w:rsidRDefault="00EF4D7A" w:rsidP="00117DA6">
      <w:pPr>
        <w:pStyle w:val="ListParagraph"/>
        <w:numPr>
          <w:ilvl w:val="2"/>
          <w:numId w:val="48"/>
        </w:numPr>
        <w:tabs>
          <w:tab w:val="left" w:pos="720"/>
        </w:tabs>
        <w:spacing w:after="0" w:line="240" w:lineRule="auto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9DEAE02" w14:textId="5E92EB03" w:rsidR="00761EBF" w:rsidRPr="00BC111A" w:rsidRDefault="00EF4D7A" w:rsidP="00B63214">
      <w:pPr>
        <w:pStyle w:val="ListParagraph"/>
        <w:numPr>
          <w:ilvl w:val="2"/>
          <w:numId w:val="48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несостоятельности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неплатежеспособности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срочного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восстановления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EC67118" w14:textId="11A38100" w:rsidR="00761EBF" w:rsidRPr="00BC111A" w:rsidRDefault="00385D44" w:rsidP="00117DA6">
      <w:pPr>
        <w:pStyle w:val="ListParagraph"/>
        <w:numPr>
          <w:ilvl w:val="0"/>
          <w:numId w:val="47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целостности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E02EF2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пр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ослеживаемости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контексте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рассмотреть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конкретные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памяти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состоянии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покоя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технологий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шифрования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сочетании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архитектурой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ключами</w:t>
      </w:r>
      <w:proofErr w:type="spellEnd"/>
      <w:r w:rsidR="00761EBF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59E8E72E" w14:textId="6C131F38" w:rsidR="00761EBF" w:rsidRPr="00BC111A" w:rsidRDefault="00DF6BB6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5" w:name="_Ref175299298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Прежде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рассмотреть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передаваемой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убедиться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отбора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отсутствует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негативная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профессиональной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компетентности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добросовестности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45"/>
    </w:p>
    <w:p w14:paraId="3196B614" w14:textId="78528BE4" w:rsidR="006A76C1" w:rsidRPr="00BC111A" w:rsidRDefault="001E7CD9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6" w:name="_Ref176787386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п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83476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86</w:t>
      </w:r>
      <w:r w:rsidR="0088347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следующее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46"/>
    </w:p>
    <w:p w14:paraId="7DD3EFE8" w14:textId="363F459A" w:rsidR="006A76C1" w:rsidRPr="00BC111A" w:rsidRDefault="001E7CD9" w:rsidP="00117DA6">
      <w:pPr>
        <w:pStyle w:val="ListParagraph"/>
        <w:numPr>
          <w:ilvl w:val="0"/>
          <w:numId w:val="4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бизнес-модель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рынке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таковая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имеется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);</w:t>
      </w:r>
    </w:p>
    <w:p w14:paraId="46A7A4E5" w14:textId="1EF2CE99" w:rsidR="006A76C1" w:rsidRPr="00BC111A" w:rsidRDefault="002017A0" w:rsidP="00117DA6">
      <w:pPr>
        <w:pStyle w:val="ListParagraph"/>
        <w:numPr>
          <w:ilvl w:val="0"/>
          <w:numId w:val="4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оценок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обзоров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отраженные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находится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286DCAB9" w14:textId="175D9421" w:rsidR="006A76C1" w:rsidRPr="00BC111A" w:rsidRDefault="002017A0" w:rsidP="00117DA6">
      <w:pPr>
        <w:pStyle w:val="ListParagraph"/>
        <w:numPr>
          <w:ilvl w:val="0"/>
          <w:numId w:val="4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внешнем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имеются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1706D368" w14:textId="5A73FF3F" w:rsidR="006A76C1" w:rsidRPr="00BC111A" w:rsidRDefault="00983344" w:rsidP="00117DA6">
      <w:pPr>
        <w:pStyle w:val="ListParagraph"/>
        <w:numPr>
          <w:ilvl w:val="0"/>
          <w:numId w:val="4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нахождении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уголовным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расследованием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санкциях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налоговым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таможенным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законодательством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санкциях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профессиональным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экономической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сфере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BE8F918" w14:textId="423696A6" w:rsidR="006A76C1" w:rsidRPr="00BC111A" w:rsidRDefault="00983344" w:rsidP="00117DA6">
      <w:pPr>
        <w:pStyle w:val="ListParagraph"/>
        <w:numPr>
          <w:ilvl w:val="0"/>
          <w:numId w:val="49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хранящихся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3A91664" w14:textId="0FE8FE60" w:rsidR="006A76C1" w:rsidRPr="00BC111A" w:rsidRDefault="00983344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согласно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883476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86</w:t>
      </w:r>
      <w:r w:rsidR="00883476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и 87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ому</w:t>
      </w:r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у</w:t>
      </w:r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декларации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справки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государственной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устанавливаются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ого</w:t>
      </w:r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BA431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40301CD" w14:textId="0F88A6F0" w:rsidR="006A76C1" w:rsidRPr="00BC111A" w:rsidRDefault="00BA4311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7" w:name="_Ref175300663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поставщик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</w:t>
      </w:r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ых</w:t>
      </w:r>
      <w:proofErr w:type="spellEnd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услуг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фиксирует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письменной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форме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</w:t>
      </w:r>
      <w:proofErr w:type="spellEnd"/>
      <w:r w:rsidR="006C273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ах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6C273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86 и 87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окончательное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заключение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ого</w:t>
      </w:r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9406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регламента</w:t>
      </w:r>
      <w:proofErr w:type="spellEnd"/>
      <w:r w:rsidR="006A76C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47"/>
    </w:p>
    <w:p w14:paraId="78E1223E" w14:textId="123C21B8" w:rsidR="00986422" w:rsidRPr="00BC111A" w:rsidRDefault="001D047C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помимо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</w:t>
      </w:r>
      <w:proofErr w:type="spellEnd"/>
      <w:r w:rsidR="006C273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ах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6C273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86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6C2733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89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хорошую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навыки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опыт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человеческие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ИТ,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регистрацию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надежного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профессионального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важной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протяжении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срока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хорошую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отсутствует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негативная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профессиональной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осуществлении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добросовестности</w:t>
      </w:r>
      <w:proofErr w:type="spellEnd"/>
      <w:r w:rsidR="00DC11C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87A1894" w14:textId="13A1CDDA" w:rsidR="00986422" w:rsidRPr="00BC111A" w:rsidRDefault="001D047C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8" w:name="_Ref169268889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деловой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репутации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помимо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прочего</w:t>
      </w:r>
      <w:proofErr w:type="spellEnd"/>
      <w:r w:rsidR="00653FE9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  <w:bookmarkEnd w:id="48"/>
      <w:r w:rsidR="009864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3F0DBACF" w14:textId="5B8BF40F" w:rsidR="00986422" w:rsidRPr="00BC111A" w:rsidRDefault="001D047C" w:rsidP="00117DA6">
      <w:pPr>
        <w:pStyle w:val="ListParagraph"/>
        <w:numPr>
          <w:ilvl w:val="0"/>
          <w:numId w:val="5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бизнес-модель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собственности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структура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="009864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CC47743" w14:textId="581975EE" w:rsidR="00986422" w:rsidRPr="00BC111A" w:rsidRDefault="007E2F8F" w:rsidP="00117DA6">
      <w:pPr>
        <w:pStyle w:val="ListParagraph"/>
        <w:numPr>
          <w:ilvl w:val="0"/>
          <w:numId w:val="5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долгосрочные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прошли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9864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81FF392" w14:textId="27E64DA9" w:rsidR="00986422" w:rsidRPr="00BC111A" w:rsidRDefault="007E2F8F" w:rsidP="006C2733">
      <w:pPr>
        <w:pStyle w:val="ListParagraph"/>
        <w:numPr>
          <w:ilvl w:val="0"/>
          <w:numId w:val="5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является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материнским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75B38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предприятием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75B38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дочерним предприятием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98642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2328DE4" w14:textId="522AED39" w:rsidR="00986422" w:rsidRPr="00BC111A" w:rsidRDefault="00975B38" w:rsidP="00117DA6">
      <w:pPr>
        <w:pStyle w:val="ListParagraph"/>
        <w:numPr>
          <w:ilvl w:val="0"/>
          <w:numId w:val="5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контролируется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органами</w:t>
      </w:r>
      <w:proofErr w:type="spellEnd"/>
      <w:r w:rsidR="00026A7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50B36612" w14:textId="0E18B988" w:rsidR="00ED40B0" w:rsidRPr="00BC111A" w:rsidRDefault="00975B38" w:rsidP="00117DA6">
      <w:pPr>
        <w:pStyle w:val="ListParagraph"/>
        <w:numPr>
          <w:ilvl w:val="0"/>
          <w:numId w:val="50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хранятся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храниться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026A70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0A1DC131" w14:textId="03997E6C" w:rsidR="002F20C6" w:rsidRPr="00BC111A" w:rsidRDefault="008B61C0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предполагает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обработку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персональных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конфиденциальных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технических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организационных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защиты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2F20C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A874832" w14:textId="0B296CC9" w:rsidR="0004255D" w:rsidRPr="00BC111A" w:rsidRDefault="00261A33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49" w:name="_Ref123202046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й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действовали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ценностями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кодексом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ого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расположенных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рубежом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где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субподрядчиков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действовал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этически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социально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ответственно</w:t>
      </w:r>
      <w:proofErr w:type="spellEnd"/>
      <w:r w:rsidR="0004255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49"/>
    </w:p>
    <w:p w14:paraId="758F4930" w14:textId="6EB29BC0" w:rsidR="00E009D8" w:rsidRPr="00BC111A" w:rsidRDefault="00261A3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E009D8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2</w:t>
      </w:r>
    </w:p>
    <w:p w14:paraId="14F7BCB6" w14:textId="43DE798F" w:rsidR="00E009D8" w:rsidRPr="00BC111A" w:rsidRDefault="00261A33" w:rsidP="0003517C">
      <w:pPr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Управление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конфликтами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интересов</w:t>
      </w:r>
      <w:proofErr w:type="spellEnd"/>
    </w:p>
    <w:p w14:paraId="7F0F58C5" w14:textId="2EF7799B" w:rsidR="00E009D8" w:rsidRPr="00BC111A" w:rsidRDefault="00E31448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50" w:name="_Ref163743206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E009D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50"/>
    </w:p>
    <w:p w14:paraId="0ACD88C9" w14:textId="0466F2F4" w:rsidR="00E009D8" w:rsidRPr="00BC111A" w:rsidRDefault="00E31448" w:rsidP="00C3272F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51" w:name="_Ref131166652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создает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между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="00E009D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51"/>
    </w:p>
    <w:p w14:paraId="0A054D61" w14:textId="3756C986" w:rsidR="00E009D8" w:rsidRPr="00BC111A" w:rsidRDefault="00E31448" w:rsidP="00717FEB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24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входящий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принадлежащий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определяться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объективно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Однако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синергию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возникающую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аналогичных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нескольким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организациям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автономно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жизнеспособным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недееспособность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объекта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группе</w:t>
      </w:r>
      <w:proofErr w:type="spellEnd"/>
      <w:r w:rsidR="00E009D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2F3455B" w14:textId="5FC34D5F" w:rsidR="00194E9A" w:rsidRPr="00BC111A" w:rsidRDefault="005F20C0" w:rsidP="00717FEB">
      <w:pPr>
        <w:tabs>
          <w:tab w:val="left" w:pos="284"/>
          <w:tab w:val="left" w:pos="426"/>
        </w:tabs>
        <w:spacing w:after="24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Глава</w:t>
      </w:r>
      <w:r w:rsidR="00194E9A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r w:rsidR="000C78F3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VI</w:t>
      </w:r>
      <w:r w:rsidR="00007813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I</w:t>
      </w:r>
      <w:r w:rsidR="00357982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I</w:t>
      </w:r>
    </w:p>
    <w:p w14:paraId="430BA76D" w14:textId="77777777" w:rsidR="005F20C0" w:rsidRPr="00BC111A" w:rsidRDefault="005F20C0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НАДЗОР ЗА ПОСТАВЩИКАМИ УСЛУГ, СТРАТЕГИИ ВЫХОДА</w:t>
      </w:r>
    </w:p>
    <w:p w14:paraId="26516811" w14:textId="257BF827" w:rsidR="00194E9A" w:rsidRPr="00BC111A" w:rsidRDefault="005F20C0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194E9A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1</w:t>
      </w:r>
    </w:p>
    <w:p w14:paraId="1350910C" w14:textId="4175D546" w:rsidR="00706CEB" w:rsidRPr="00BC111A" w:rsidRDefault="0095323C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Осуществление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надзора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функциями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переданными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поставщи</w:t>
      </w:r>
      <w:r w:rsidR="00EA465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ком</w:t>
      </w:r>
      <w:proofErr w:type="spellEnd"/>
      <w:r w:rsidR="00EA465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EA465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пл</w:t>
      </w:r>
      <w:r w:rsidR="00EA465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атежных</w:t>
      </w:r>
      <w:proofErr w:type="spellEnd"/>
      <w:r w:rsidR="00EA4657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 xml:space="preserve"> услуг</w:t>
      </w:r>
    </w:p>
    <w:p w14:paraId="149F9EBA" w14:textId="1DFDD830" w:rsidR="00706CEB" w:rsidRPr="00BC111A" w:rsidRDefault="00EF3A5B" w:rsidP="00710EF7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52" w:name="_Ref169770002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работу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отношении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всех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основываясь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риск-ориентированном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подходе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уделяя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первоочередное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обеспечение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доступности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целостности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безопасности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характер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масштаб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переданной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существенно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изменились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провести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повторную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оценку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значимости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117B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7</w:t>
      </w:r>
      <w:r w:rsidR="00117B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D7285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и </w:t>
      </w:r>
      <w:r w:rsidR="00117B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23</w:t>
      </w:r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52"/>
    </w:p>
    <w:p w14:paraId="429EF0E6" w14:textId="75C69B4C" w:rsidR="00706CEB" w:rsidRPr="00BC111A" w:rsidRDefault="00EF3A5B" w:rsidP="00710EF7">
      <w:pPr>
        <w:pStyle w:val="ListParagraph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bookmarkStart w:id="53" w:name="_Ref163743220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проявлять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компетентность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осторожность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усердие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9C3994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договор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ами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53"/>
    </w:p>
    <w:p w14:paraId="21D63FA9" w14:textId="35BB4A74" w:rsidR="00706CEB" w:rsidRPr="00BC111A" w:rsidRDefault="009C3994" w:rsidP="00710EF7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отслеживать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концентрации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вызванными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учетом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</w:t>
      </w:r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0832CDEB" w14:textId="0CD69594" w:rsidR="00706CEB" w:rsidRPr="00BC111A" w:rsidRDefault="00BB7775" w:rsidP="00710EF7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уделяя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особое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важным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соответствовали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79137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необходимым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стандартам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производительности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путем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20126858" w14:textId="5C3F1D17" w:rsidR="00706CEB" w:rsidRPr="00BC111A" w:rsidRDefault="0088241C" w:rsidP="00117DA6">
      <w:pPr>
        <w:pStyle w:val="ListParagraph"/>
        <w:numPr>
          <w:ilvl w:val="0"/>
          <w:numId w:val="5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регулярного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7D39C5BE" w14:textId="3FB4B8FB" w:rsidR="00706CEB" w:rsidRPr="00BC111A" w:rsidRDefault="00EE5B05" w:rsidP="00117DA6">
      <w:pPr>
        <w:pStyle w:val="ListParagraph"/>
        <w:numPr>
          <w:ilvl w:val="0"/>
          <w:numId w:val="5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оценк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предполагает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инструментов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ключевые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показатели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самосертификация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независимая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оценка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7A401A03" w14:textId="13F34C96" w:rsidR="00706CEB" w:rsidRPr="00BC111A" w:rsidRDefault="00EE5B05" w:rsidP="00117DA6">
      <w:pPr>
        <w:pStyle w:val="ListParagraph"/>
        <w:numPr>
          <w:ilvl w:val="0"/>
          <w:numId w:val="51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рассмотрения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полученной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отчеты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тестировании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53444A9F" w14:textId="5C0CDBC1" w:rsidR="000F26F8" w:rsidRPr="00BC111A" w:rsidRDefault="003A3400" w:rsidP="003C600D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bookmarkStart w:id="54" w:name="_Ref169770026"/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учитывать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признаки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скорее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применимыми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недостатков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корректирующие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исправительные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себя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расторжение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немедленным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вступлением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силу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54"/>
    </w:p>
    <w:p w14:paraId="16BFD42E" w14:textId="0FA211DB" w:rsidR="00194E9A" w:rsidRPr="00BC111A" w:rsidRDefault="003A3400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194E9A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2</w:t>
      </w:r>
    </w:p>
    <w:p w14:paraId="11FEDF34" w14:textId="5469E37F" w:rsidR="00706CEB" w:rsidRPr="00BC111A" w:rsidRDefault="003A3400" w:rsidP="0003517C">
      <w:pPr>
        <w:tabs>
          <w:tab w:val="left" w:pos="284"/>
          <w:tab w:val="left" w:pos="426"/>
        </w:tabs>
        <w:spacing w:after="120" w:line="240" w:lineRule="auto"/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Стратегии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выхода</w:t>
      </w:r>
      <w:proofErr w:type="spellEnd"/>
    </w:p>
    <w:p w14:paraId="0DE65682" w14:textId="537FF0D6" w:rsidR="00706CEB" w:rsidRPr="00BC111A" w:rsidRDefault="0025656C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документированную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политике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минимум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следующие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возможности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:</w:t>
      </w:r>
    </w:p>
    <w:p w14:paraId="58917D8F" w14:textId="69C9A5CD" w:rsidR="00706CEB" w:rsidRPr="00BC111A" w:rsidRDefault="0025656C" w:rsidP="00117DA6">
      <w:pPr>
        <w:pStyle w:val="ListParagraph"/>
        <w:numPr>
          <w:ilvl w:val="0"/>
          <w:numId w:val="5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прекращение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08AC9F6" w14:textId="584A9705" w:rsidR="00706CEB" w:rsidRPr="00BC111A" w:rsidRDefault="0025656C" w:rsidP="00117DA6">
      <w:pPr>
        <w:pStyle w:val="ListParagraph"/>
        <w:numPr>
          <w:ilvl w:val="0"/>
          <w:numId w:val="5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неспособность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772DB9A" w14:textId="17775532" w:rsidR="00706CEB" w:rsidRPr="00BC111A" w:rsidRDefault="0025656C" w:rsidP="00117DA6">
      <w:pPr>
        <w:pStyle w:val="ListParagraph"/>
        <w:numPr>
          <w:ilvl w:val="0"/>
          <w:numId w:val="5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ухудшение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фактические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перерывы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вызванные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неадекватным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необеспечением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ее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39D8945" w14:textId="2169ED06" w:rsidR="00706CEB" w:rsidRPr="00BC111A" w:rsidRDefault="00657419" w:rsidP="00117DA6">
      <w:pPr>
        <w:pStyle w:val="ListParagraph"/>
        <w:numPr>
          <w:ilvl w:val="0"/>
          <w:numId w:val="52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значительные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возникающие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результате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правильного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6578F70B" w14:textId="61CE839C" w:rsidR="00706CEB" w:rsidRPr="00BC111A" w:rsidRDefault="00657419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возможность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необоснованного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нарушения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коммерческой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без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никоим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нанося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ущерба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качеству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клиентам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77A9C21C" w14:textId="6F5200C7" w:rsidR="007F0069" w:rsidRPr="00BC111A" w:rsidRDefault="00657419" w:rsidP="00117DA6">
      <w:pPr>
        <w:pStyle w:val="ListParagraph"/>
        <w:numPr>
          <w:ilvl w:val="0"/>
          <w:numId w:val="5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разработать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комплексные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документированные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проверенные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путем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последствий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временных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затрат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альтернативному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);</w:t>
      </w:r>
    </w:p>
    <w:p w14:paraId="1095FF89" w14:textId="6E471B94" w:rsidR="00706CEB" w:rsidRPr="00BC111A" w:rsidRDefault="002A5A94" w:rsidP="00117DA6">
      <w:pPr>
        <w:pStyle w:val="ListParagraph"/>
        <w:numPr>
          <w:ilvl w:val="0"/>
          <w:numId w:val="53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альтернативные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решения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разработать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позволить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извлечь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альтернативным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дальнейшего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контролируемым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проверенным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способом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принимая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внимание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проблемы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возникнуть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из-за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местоположения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применяя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этапе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перехода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65F91C48" w14:textId="67E1445C" w:rsidR="00706CEB" w:rsidRPr="00BC111A" w:rsidRDefault="00E92B0A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разработке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20BED637" w14:textId="0BE2D283" w:rsidR="00706CEB" w:rsidRPr="00BC111A" w:rsidRDefault="00E92B0A" w:rsidP="00117DA6">
      <w:pPr>
        <w:pStyle w:val="ListParagraph"/>
        <w:numPr>
          <w:ilvl w:val="0"/>
          <w:numId w:val="5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цели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42CD093" w14:textId="43BAC91E" w:rsidR="00706CEB" w:rsidRPr="00BC111A" w:rsidRDefault="00E92B0A" w:rsidP="00117DA6">
      <w:pPr>
        <w:pStyle w:val="ListParagraph"/>
        <w:numPr>
          <w:ilvl w:val="0"/>
          <w:numId w:val="5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экономического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воздействия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пропорционального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человеческие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реализации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необходимое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время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564A7403" w14:textId="331276DC" w:rsidR="00706CEB" w:rsidRPr="00BC111A" w:rsidRDefault="00CD2D1E" w:rsidP="00117DA6">
      <w:pPr>
        <w:pStyle w:val="ListParagraph"/>
        <w:numPr>
          <w:ilvl w:val="0"/>
          <w:numId w:val="5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роли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конкретные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обязанности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151846A" w14:textId="39ADE6AB" w:rsidR="00706CEB" w:rsidRPr="00BC111A" w:rsidRDefault="00CD2D1E" w:rsidP="00117DA6">
      <w:pPr>
        <w:pStyle w:val="ListParagraph"/>
        <w:numPr>
          <w:ilvl w:val="0"/>
          <w:numId w:val="5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критерии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успеха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передачи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данных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113CD662" w14:textId="352BF1AA" w:rsidR="00706CEB" w:rsidRPr="00BC111A" w:rsidRDefault="009815F5" w:rsidP="00117DA6">
      <w:pPr>
        <w:pStyle w:val="ListParagraph"/>
        <w:numPr>
          <w:ilvl w:val="0"/>
          <w:numId w:val="54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индикаторы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(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предусмотрено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1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VIII),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индикаторы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основанные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неприемлемых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уровнях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привести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выходу</w:t>
      </w:r>
      <w:proofErr w:type="spellEnd"/>
      <w:r w:rsidR="00706CE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77DED658" w14:textId="77777777" w:rsidR="007F0069" w:rsidRPr="00BC111A" w:rsidRDefault="007F0069" w:rsidP="007F0069">
      <w:pPr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</w:p>
    <w:p w14:paraId="361915CE" w14:textId="6BFA1A3A" w:rsidR="000E4AAE" w:rsidRPr="00BC111A" w:rsidRDefault="003D0B02" w:rsidP="00C3272F">
      <w:pPr>
        <w:jc w:val="center"/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u-RU"/>
        </w:rPr>
        <w:t>Часть</w:t>
      </w:r>
      <w:r w:rsidR="000E4AAE"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3.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со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стороны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Национального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банка</w:t>
      </w:r>
      <w:proofErr w:type="spellEnd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b/>
          <w:color w:val="000000" w:themeColor="text1"/>
          <w:sz w:val="24"/>
          <w:szCs w:val="24"/>
          <w:lang w:val="ro-RO"/>
        </w:rPr>
        <w:t>Молдова</w:t>
      </w:r>
      <w:proofErr w:type="spellEnd"/>
    </w:p>
    <w:p w14:paraId="30610ED6" w14:textId="68313603" w:rsidR="000E4AAE" w:rsidRPr="00BC111A" w:rsidRDefault="00E33FA3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установлении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методов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определит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представляют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существенное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изменение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условий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связанных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лицензированием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0E4AA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2B34FC6F" w14:textId="48508A5A" w:rsidR="001A5E63" w:rsidRPr="00BC111A" w:rsidRDefault="00E33FA3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гарантировать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контролировать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факт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обеспечил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имеют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обязательство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права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аудита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доступа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Национальному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пунктами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="00117B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33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-</w:t>
      </w:r>
      <w:r w:rsidR="00117BBC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39</w:t>
      </w:r>
      <w:r w:rsidR="001A5E63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EAF326F" w14:textId="5B37F4BD" w:rsidR="00C92A66" w:rsidRPr="00BC111A" w:rsidRDefault="005A05FA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проводиться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рамках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специальные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время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проверок</w:t>
      </w:r>
      <w:proofErr w:type="spellEnd"/>
      <w:r w:rsidR="00C92A6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7DDB238" w14:textId="0F94F172" w:rsidR="0061727A" w:rsidRPr="00BC111A" w:rsidRDefault="007F581C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зарегистрированной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реестре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указано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II,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дополнительную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у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особенно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</w:t>
      </w:r>
      <w:proofErr w:type="spellEnd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ограничиваясь</w:t>
      </w:r>
      <w:proofErr w:type="spellEnd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57261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этим</w:t>
      </w:r>
      <w:proofErr w:type="spellEnd"/>
      <w:r w:rsidR="00557261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и</w:t>
      </w:r>
      <w:r w:rsidR="0061727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2F0AD048" w14:textId="36786081" w:rsidR="0061727A" w:rsidRPr="00BC111A" w:rsidRDefault="007F581C" w:rsidP="00117DA6">
      <w:pPr>
        <w:pStyle w:val="ListParagraph"/>
        <w:numPr>
          <w:ilvl w:val="0"/>
          <w:numId w:val="5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подробный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анализ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="0061727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CE52E00" w14:textId="313161D9" w:rsidR="0061727A" w:rsidRPr="00BC111A" w:rsidRDefault="007F581C" w:rsidP="00117DA6">
      <w:pPr>
        <w:pStyle w:val="ListParagraph"/>
        <w:numPr>
          <w:ilvl w:val="0"/>
          <w:numId w:val="5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наличие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обеспечению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непрерывности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подходящей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предоставляемых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му</w:t>
      </w:r>
      <w:proofErr w:type="spellEnd"/>
      <w:r w:rsidR="000D65CA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у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61727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0F2299A8" w14:textId="5FFF5570" w:rsidR="0061727A" w:rsidRPr="00BC111A" w:rsidRDefault="00200A95" w:rsidP="00117DA6">
      <w:pPr>
        <w:pStyle w:val="ListParagraph"/>
        <w:numPr>
          <w:ilvl w:val="0"/>
          <w:numId w:val="5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стратегия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будет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использоваться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расторгнут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сторон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произойдет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сбой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предоставлении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262A8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  <w:r w:rsidR="00676C6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</w:p>
    <w:p w14:paraId="2F97F01B" w14:textId="59D4E731" w:rsidR="00C92A66" w:rsidRPr="00BC111A" w:rsidRDefault="00200A95" w:rsidP="00117DA6">
      <w:pPr>
        <w:pStyle w:val="ListParagraph"/>
        <w:numPr>
          <w:ilvl w:val="0"/>
          <w:numId w:val="55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существующие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постоянного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адекватного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="0061727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2B798BB" w14:textId="28726270" w:rsidR="00FD24A7" w:rsidRPr="00BC111A" w:rsidRDefault="007C415D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дополнение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запрашиваемой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с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Частью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3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настоящей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главы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запросить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у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подробную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информацию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о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любом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даже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рассматриваемая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считается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значимой</w:t>
      </w:r>
      <w:proofErr w:type="spellEnd"/>
      <w:r w:rsidR="00F26FDA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3639CF81" w14:textId="2B2DD58C" w:rsidR="00EF01BC" w:rsidRPr="00BC111A" w:rsidRDefault="00B0392C" w:rsidP="00C3272F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риск-ориентированного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подхода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EF01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: </w:t>
      </w:r>
    </w:p>
    <w:p w14:paraId="62DA64D9" w14:textId="1B5124D4" w:rsidR="00EF01BC" w:rsidRPr="00BC111A" w:rsidRDefault="00A7675A" w:rsidP="00117DA6">
      <w:pPr>
        <w:pStyle w:val="ListParagraph"/>
        <w:numPr>
          <w:ilvl w:val="0"/>
          <w:numId w:val="5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контролирует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надлежащим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администрирует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частности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значим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="00EF01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6F5BC2A1" w14:textId="3A6B00FA" w:rsidR="00EF01BC" w:rsidRPr="00BC111A" w:rsidRDefault="00A7675A" w:rsidP="00117DA6">
      <w:pPr>
        <w:pStyle w:val="ListParagraph"/>
        <w:numPr>
          <w:ilvl w:val="0"/>
          <w:numId w:val="5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достаточные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ресурсы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мониторинга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договорами</w:t>
      </w:r>
      <w:proofErr w:type="spellEnd"/>
      <w:r w:rsidR="00EF01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2E46869C" w14:textId="3AA17D7C" w:rsidR="00EF01BC" w:rsidRPr="00BC111A" w:rsidRDefault="00B9764D" w:rsidP="00117DA6">
      <w:pPr>
        <w:pStyle w:val="ListParagraph"/>
        <w:numPr>
          <w:ilvl w:val="0"/>
          <w:numId w:val="5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всеми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724C1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; </w:t>
      </w:r>
    </w:p>
    <w:p w14:paraId="4F1889C1" w14:textId="091DBF81" w:rsidR="007456BB" w:rsidRPr="00BC111A" w:rsidRDefault="00B9764D" w:rsidP="00117DA6">
      <w:pPr>
        <w:pStyle w:val="ListParagraph"/>
        <w:numPr>
          <w:ilvl w:val="0"/>
          <w:numId w:val="5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надлежащим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образом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управляет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конфликтами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интересов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="004B513D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</w:t>
      </w:r>
      <w:proofErr w:type="spellEnd"/>
      <w:r w:rsidR="004B513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х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4B513D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а</w:t>
      </w: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например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внутригруппового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7456BB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;</w:t>
      </w:r>
    </w:p>
    <w:p w14:paraId="46616354" w14:textId="06E14A93" w:rsidR="002D6627" w:rsidRPr="00BC111A" w:rsidRDefault="004B513D" w:rsidP="00117DA6">
      <w:pPr>
        <w:pStyle w:val="ListParagraph"/>
        <w:numPr>
          <w:ilvl w:val="0"/>
          <w:numId w:val="56"/>
        </w:numPr>
        <w:tabs>
          <w:tab w:val="left" w:pos="426"/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соблюдает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касающихся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процесса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числе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внутренних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актов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принятых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этой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связи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а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также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деятельностью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/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операциями</w:t>
      </w:r>
      <w:proofErr w:type="spellEnd"/>
      <w:r w:rsidR="00EF01BC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67CAE6B3" w14:textId="70E35E30" w:rsidR="00391102" w:rsidRPr="00BC111A" w:rsidRDefault="004B513D" w:rsidP="003C600D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обеспечивает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чтобы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5F655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</w:t>
      </w:r>
      <w:proofErr w:type="spellEnd"/>
      <w:r w:rsidR="005F6554" w:rsidRPr="00BC111A">
        <w:rPr>
          <w:rFonts w:ascii="PermianSerifTypeface" w:hAnsi="PermianSerifTypeface"/>
          <w:color w:val="000000" w:themeColor="text1"/>
          <w:sz w:val="24"/>
          <w:szCs w:val="24"/>
          <w:lang w:val="ru-RU"/>
        </w:rPr>
        <w:t>е</w:t>
      </w:r>
      <w:r w:rsidR="005F6554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внедрили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соответствующую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систему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бизнесом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управления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своими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рисками</w:t>
      </w:r>
      <w:proofErr w:type="spellEnd"/>
      <w:r w:rsidR="00391102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12CC8D5C" w14:textId="38522298" w:rsidR="00EF12FE" w:rsidRPr="00BC111A" w:rsidRDefault="005F6554" w:rsidP="003C600D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lastRenderedPageBreak/>
        <w:t xml:space="preserve">В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случае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концентрации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отслеживать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развитие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рисков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оценивать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потенциальное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влияние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других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так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и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стабильность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финансового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рынка</w:t>
      </w:r>
      <w:proofErr w:type="spellEnd"/>
      <w:r w:rsidR="00EF12FE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</w:p>
    <w:p w14:paraId="4348504D" w14:textId="22131DA0" w:rsidR="000D19D6" w:rsidRPr="00BC111A" w:rsidRDefault="00FE0538" w:rsidP="003C600D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Если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выявлены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причины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приводят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к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выводу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больше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имеет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прочной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основы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для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администрирования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деятельности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больше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соответствует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требованиям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вытекающим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из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нормативной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базы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применить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меры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которые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могут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включать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ограничение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области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применения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аутсорсинговых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функций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наложения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раcторжения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одного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или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нескольких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договоров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аутсорсинга</w:t>
      </w:r>
      <w:proofErr w:type="spellEnd"/>
      <w:r w:rsidR="000D19D6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. </w:t>
      </w:r>
    </w:p>
    <w:p w14:paraId="3542BAFD" w14:textId="39A5399B" w:rsidR="000D19D6" w:rsidRPr="00BC111A" w:rsidRDefault="00127694" w:rsidP="003C600D">
      <w:pPr>
        <w:pStyle w:val="ListParagraph"/>
        <w:numPr>
          <w:ilvl w:val="0"/>
          <w:numId w:val="2"/>
        </w:numPr>
        <w:tabs>
          <w:tab w:val="left" w:pos="284"/>
          <w:tab w:val="left" w:pos="1276"/>
        </w:tabs>
        <w:spacing w:before="240" w:after="120" w:line="240" w:lineRule="auto"/>
        <w:ind w:left="0" w:firstLine="720"/>
        <w:contextualSpacing w:val="0"/>
        <w:jc w:val="both"/>
        <w:rPr>
          <w:rFonts w:ascii="PermianSerifTypeface" w:hAnsi="PermianSerifTypeface"/>
          <w:color w:val="000000" w:themeColor="text1"/>
          <w:sz w:val="24"/>
          <w:szCs w:val="24"/>
          <w:lang w:val="ro-RO"/>
        </w:rPr>
      </w:pPr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Национальный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банк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Молдовы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должен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быть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уверен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что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он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может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обеспечить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эффективный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надзор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особенно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когда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небанковский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поставщик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платежных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услуг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передает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на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аутсорсинг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значимые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функции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,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выполняемые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за</w:t>
      </w:r>
      <w:proofErr w:type="spellEnd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 xml:space="preserve"> </w:t>
      </w:r>
      <w:proofErr w:type="spellStart"/>
      <w:r w:rsidR="007E5EF7"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рубежом</w:t>
      </w:r>
      <w:proofErr w:type="spellEnd"/>
      <w:r w:rsidRPr="00BC111A">
        <w:rPr>
          <w:rFonts w:ascii="PermianSerifTypeface" w:hAnsi="PermianSerifTypeface"/>
          <w:color w:val="000000" w:themeColor="text1"/>
          <w:sz w:val="24"/>
          <w:szCs w:val="24"/>
          <w:lang w:val="ro-RO"/>
        </w:rPr>
        <w:t>.</w:t>
      </w:r>
      <w:bookmarkEnd w:id="0"/>
    </w:p>
    <w:sectPr w:rsidR="000D19D6" w:rsidRPr="00BC111A" w:rsidSect="007438D9">
      <w:headerReference w:type="even" r:id="rId9"/>
      <w:headerReference w:type="default" r:id="rId10"/>
      <w:footerReference w:type="default" r:id="rId11"/>
      <w:pgSz w:w="12240" w:h="15840" w:code="1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2269A" w14:textId="77777777" w:rsidR="00DA76A8" w:rsidRDefault="00DA76A8" w:rsidP="00FC4BF1">
      <w:pPr>
        <w:spacing w:after="0" w:line="240" w:lineRule="auto"/>
      </w:pPr>
      <w:r>
        <w:separator/>
      </w:r>
    </w:p>
  </w:endnote>
  <w:endnote w:type="continuationSeparator" w:id="0">
    <w:p w14:paraId="7255EC29" w14:textId="77777777" w:rsidR="00DA76A8" w:rsidRDefault="00DA76A8" w:rsidP="00FC4BF1">
      <w:pPr>
        <w:spacing w:after="0" w:line="240" w:lineRule="auto"/>
      </w:pPr>
      <w:r>
        <w:continuationSeparator/>
      </w:r>
    </w:p>
  </w:endnote>
  <w:endnote w:type="continuationNotice" w:id="1">
    <w:p w14:paraId="0FDF3D26" w14:textId="77777777" w:rsidR="00DA76A8" w:rsidRDefault="00DA76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ansTypeface">
    <w:panose1 w:val="02000000000000000000"/>
    <w:charset w:val="CC"/>
    <w:family w:val="auto"/>
    <w:pitch w:val="variable"/>
    <w:sig w:usb0="A000022F" w:usb1="4000A07A" w:usb2="00000000" w:usb3="00000000" w:csb0="0000000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827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617DB" w14:textId="656336CA" w:rsidR="00DA76A8" w:rsidRDefault="00DA76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629D7" w14:textId="77777777" w:rsidR="00DA76A8" w:rsidRDefault="00DA7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3959" w14:textId="77777777" w:rsidR="00DA76A8" w:rsidRDefault="00DA76A8" w:rsidP="00FC4BF1">
      <w:pPr>
        <w:spacing w:after="0" w:line="240" w:lineRule="auto"/>
      </w:pPr>
      <w:r>
        <w:separator/>
      </w:r>
    </w:p>
  </w:footnote>
  <w:footnote w:type="continuationSeparator" w:id="0">
    <w:p w14:paraId="3F75977F" w14:textId="77777777" w:rsidR="00DA76A8" w:rsidRDefault="00DA76A8" w:rsidP="00FC4BF1">
      <w:pPr>
        <w:spacing w:after="0" w:line="240" w:lineRule="auto"/>
      </w:pPr>
      <w:r>
        <w:continuationSeparator/>
      </w:r>
    </w:p>
  </w:footnote>
  <w:footnote w:type="continuationNotice" w:id="1">
    <w:p w14:paraId="7DA8383D" w14:textId="77777777" w:rsidR="00DA76A8" w:rsidRDefault="00DA76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B9F6" w14:textId="77777777" w:rsidR="00DA76A8" w:rsidRDefault="00DA76A8" w:rsidP="00A1465B">
    <w:pPr>
      <w:pStyle w:val="Header"/>
      <w:jc w:val="right"/>
      <w:rPr>
        <w:rFonts w:ascii="PermianSansTypeface" w:hAnsi="PermianSansTypeface" w:cs="Times New Roman"/>
        <w:color w:val="000000"/>
        <w:sz w:val="24"/>
      </w:rPr>
    </w:pPr>
    <w:bookmarkStart w:id="55" w:name="TITUS1HeaderEvenPages"/>
    <w:r>
      <w:rPr>
        <w:rFonts w:ascii="PermianSansTypeface" w:hAnsi="PermianSansTypeface"/>
        <w:b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330CDD" wp14:editId="5267986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2" name="MSIPCMc9034df68737d21127a694bb" descr="{&quot;HashCode&quot;:577904551,&quot;Height&quot;:792.0,&quot;Width&quot;:612.0,&quot;Placement&quot;:&quot;Head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493690" w14:textId="2E4CC4D2" w:rsidR="00DA76A8" w:rsidRPr="008E56CD" w:rsidRDefault="00DA76A8" w:rsidP="008E56C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30CDD" id="_x0000_t202" coordsize="21600,21600" o:spt="202" path="m,l,21600r21600,l21600,xe">
              <v:stroke joinstyle="miter"/>
              <v:path gradientshapeok="t" o:connecttype="rect"/>
            </v:shapetype>
            <v:shape id="MSIPCMc9034df68737d21127a694bb" o:spid="_x0000_s1026" type="#_x0000_t202" alt="{&quot;HashCode&quot;:577904551,&quot;Height&quot;:792.0,&quot;Width&quot;:612.0,&quot;Placement&quot;:&quot;Header&quot;,&quot;Index&quot;:&quot;OddAndEven&quot;,&quot;Section&quot;:1,&quot;Top&quot;:0.0,&quot;Left&quot;:0.0}" style="position:absolute;left:0;text-align:left;margin-left:0;margin-top:15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5y95FwIAACUEAAAOAAAAZHJzL2Uyb0RvYy54bWysU99v2jAQfp+0/8Hy+0hgFLaIULFWTJNQ W4lOfTaOTSLZPs82JOyv39kJMHV9qvbinO8u9+P7Pi9uO63IUTjfgCnpeJRTIgyHqjH7kv58Xn/6 QokPzFRMgRElPQlPb5cfPyxaW4gJ1KAq4QgWMb5obUnrEGyRZZ7XQjM/AisMBiU4zQJe3T6rHGux ulbZJM9nWQuusg648B69932QLlN9KQUPj1J6EYgqKc4W0unSuYtntlywYu+YrRs+jMHeMYVmjcGm l1L3LDBycM0/pXTDHXiQYcRBZyBlw0XaAbcZ56+22dbMirQLguPtBSb//8ryh+PWPjkSum/QIYER kNb6wqMz7tNJp+MXJyUYRwhPF9hEFwhH53w+n0xzDHGMTWazOdpYJrv+bZ0P3wVoEo2SOqQlocWO Gx/61HNKbGZg3SiVqFGGtCWdfb7J0w+XCBZXBntcZ41W6HbdsMAOqhPu5aCn3Fu+brD5hvnwxBxy jPOibsMjHlIBNoHBoqQG9/stf8xH6DFKSYuaKan/dWBOUKJ+GCTl63g6jSJLFzRcMiY3CA7edme3 Oeg7QD2O8WlYnsyYHNTZlA70C+p6FdthiBmOTUsazuZd6CWM74KL1SoloZ4sCxuztTyWjjhGTJ+7 F+bsAHxAyh7gLCtWvMK/z+0ZWB0CyCaRE5Ht4RwARy0meod3E8X+9z1lXV/38g8AAAD//wMAUEsD BBQABgAIAAAAIQBShoHP2wAAAAcBAAAPAAAAZHJzL2Rvd25yZXYueG1sTI9BT4QwEIXvJv6HZky8 ua24UYMMm10TbiaGVbPXQkcg0imhhYV/b/ekp3mTN3nvm2y32F7MNPrOMcL9RoEgrp3puEH4/Cju nkH4oNno3jEhrORhl19fZTo17swlzcfQiBjCPtUIbQhDKqWvW7Lab9xAHL1vN1od4jo20oz6HMNt LxOlHqXVHceGVg/02lL9c5wswrTdH6rVJfPb++H0VS4Fr2VxQry9WfYvIAIt4e8YLvgRHfLIVLmJ jRc9QnwkIDyoOC9ukmyjqhCeEgUyz+R//vwXAAD//wMAUEsBAi0AFAAGAAgAAAAhALaDOJL+AAAA 4QEAABMAAAAAAAAAAAAAAAAAAAAAAFtDb250ZW50X1R5cGVzXS54bWxQSwECLQAUAAYACAAAACEA OP0h/9YAAACUAQAACwAAAAAAAAAAAAAAAAAvAQAAX3JlbHMvLnJlbHNQSwECLQAUAAYACAAAACEA k+cveRcCAAAlBAAADgAAAAAAAAAAAAAAAAAuAgAAZHJzL2Uyb0RvYy54bWxQSwECLQAUAAYACAAA ACEAUoaBz9sAAAAHAQAADwAAAAAAAAAAAAAAAABxBAAAZHJzL2Rvd25yZXYueG1sUEsFBgAAAAAE AAQA8wAAAHkFAAAAAA== " o:allowincell="f" filled="f" stroked="f" strokeweight=".5pt">
              <v:textbox inset=",0,20pt,0">
                <w:txbxContent>
                  <w:p w14:paraId="16493690" w14:textId="2E4CC4D2" w:rsidR="00DA76A8" w:rsidRPr="008E56CD" w:rsidRDefault="00DA76A8" w:rsidP="008E56C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55"/>
  </w:p>
  <w:p w14:paraId="767A95FF" w14:textId="08DB28DF" w:rsidR="00DA76A8" w:rsidRDefault="00DA76A8" w:rsidP="00A1465B">
    <w:pPr>
      <w:pStyle w:val="Header"/>
      <w:rPr>
        <w:rFonts w:ascii="Times New Roman" w:hAnsi="Times New Roman" w:cs="Times New Roman"/>
        <w:b/>
        <w:color w:val="000000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CD3C" w14:textId="77777777" w:rsidR="00DA76A8" w:rsidRDefault="00DA76A8" w:rsidP="00A1465B">
    <w:pPr>
      <w:pStyle w:val="Header"/>
      <w:jc w:val="right"/>
      <w:rPr>
        <w:rFonts w:ascii="PermianSansTypeface" w:hAnsi="PermianSansTypeface" w:cs="Times New Roman"/>
        <w:color w:val="000000"/>
        <w:sz w:val="24"/>
      </w:rPr>
    </w:pPr>
    <w:bookmarkStart w:id="56" w:name="TITUS1HeaderPrimary"/>
    <w:r>
      <w:rPr>
        <w:rFonts w:ascii="PermianSansTypeface" w:hAnsi="PermianSansTypeface"/>
        <w:b/>
        <w:noProof/>
        <w:color w:val="00000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55439C" wp14:editId="604CA46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66700"/>
              <wp:effectExtent l="0" t="0" r="0" b="0"/>
              <wp:wrapNone/>
              <wp:docPr id="1" name="MSIPCM842a45768ddbbd8707a92165" descr="{&quot;HashCode&quot;:577904551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821640" w14:textId="66DFAF16" w:rsidR="00DA76A8" w:rsidRPr="008E56CD" w:rsidRDefault="00DA76A8" w:rsidP="008E56CD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5439C" id="_x0000_t202" coordsize="21600,21600" o:spt="202" path="m,l,21600r21600,l21600,xe">
              <v:stroke joinstyle="miter"/>
              <v:path gradientshapeok="t" o:connecttype="rect"/>
            </v:shapetype>
            <v:shape id="MSIPCM842a45768ddbbd8707a92165" o:spid="_x0000_s1027" type="#_x0000_t202" alt="{&quot;HashCode&quot;:577904551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4+kWGQIAACwEAAAOAAAAZHJzL2Uyb0RvYy54bWysU8tu2zAQvBfoPxC815JVx04Fy4GbwEUB IwngFDnTFGkJILksSVtyv75Lyo8g7anohVrurvYxM5zf9VqRg3C+BVPR8SinRBgOdWt2Ff3xsvp0 S4kPzNRMgREVPQpP7xYfP8w7W4oCGlC1cASLGF92tqJNCLbMMs8boZkfgRUGgxKcZgGvbpfVjnVY XausyPNp1oGrrQMuvEfvwxCki1RfSsHDk5ReBKIqirOFdLp0buOZLeas3Dlmm5afxmD/MIVmrcGm l1IPLDCyd+0fpXTLHXiQYcRBZyBly0XaAbcZ5++22TTMirQLguPtBSb//8ryx8PGPjsS+q/QI4ER kM760qMz7tNLp+MXJyUYRwiPF9hEHwhH52w2KyY5hjjGiul0hjaWya5/W+fDNwGaRKOiDmlJaLHD 2och9ZwSmxlYtUolapQhXUWnn2/y9MMlgsWVwR7XWaMV+m1P2vrNHluoj7ieg4F5b/mqxRnWzIdn 5pBqHBvlG57wkAqwF5wsShpwv/7mj/nIAEYp6VA6FfU/98wJStR3g9x8GU8mUWvpgoZLRnGDGOFt e3abvb4HlOUYX4jlyYzJQZ1N6UC/oryXsR2GmOHYtKLhbN6HQcn4PLhYLlMSysqysDYby2PpCGeE 9qV/Zc6e8A/I3COc1cXKdzQMuQMRy30A2SaOIsADnCfcUZKJ5dPziZp/e09Z10e++A0AAP//AwBQ SwMEFAAGAAgAAAAhAFKGgc/bAAAABwEAAA8AAABkcnMvZG93bnJldi54bWxMj0FPhDAQhe8m/odm TLy5rbhRgwybXRNuJoZVs9dCRyDSKaGFhX9v96SneZM3ee+bbLfYXsw0+s4xwv1GgSCunem4Qfj8 KO6eQfig2ejeMSGs5GGXX19lOjXuzCXNx9CIGMI+1QhtCEMqpa9bstpv3EAcvW83Wh3iOjbSjPoc w20vE6UepdUdx4ZWD/TaUv1znCzCtN0fqtUl89v74fRVLgWvZXFCvL1Z9i8gAi3h7xgu+BEd8shU uYmNFz1CfCQgPKg4L26SbKOqEJ4SBTLP5H/+/BcAAP//AwBQSwECLQAUAAYACAAAACEAtoM4kv4A AADhAQAAEwAAAAAAAAAAAAAAAAAAAAAAW0NvbnRlbnRfVHlwZXNdLnhtbFBLAQItABQABgAIAAAA IQA4/SH/1gAAAJQBAAALAAAAAAAAAAAAAAAAAC8BAABfcmVscy8ucmVsc1BLAQItABQABgAIAAAA IQAb4+kWGQIAACwEAAAOAAAAAAAAAAAAAAAAAC4CAABkcnMvZTJvRG9jLnhtbFBLAQItABQABgAI AAAAIQBShoHP2wAAAAcBAAAPAAAAAAAAAAAAAAAAAHMEAABkcnMvZG93bnJldi54bWxQSwUGAAAA AAQABADzAAAAewUAAAAA " o:allowincell="f" filled="f" stroked="f" strokeweight=".5pt">
              <v:textbox inset=",0,20pt,0">
                <w:txbxContent>
                  <w:p w14:paraId="12821640" w14:textId="66DFAF16" w:rsidR="00DA76A8" w:rsidRPr="008E56CD" w:rsidRDefault="00DA76A8" w:rsidP="008E56CD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bookmarkEnd w:id="56"/>
  </w:p>
  <w:p w14:paraId="5B8C8A36" w14:textId="5120D7C0" w:rsidR="00DA76A8" w:rsidRDefault="00DA76A8" w:rsidP="00A1465B">
    <w:pPr>
      <w:pStyle w:val="Header"/>
      <w:rPr>
        <w:rFonts w:ascii="Times New Roman" w:hAnsi="Times New Roman" w:cs="Times New Roman"/>
        <w:b/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212"/>
    <w:multiLevelType w:val="multilevel"/>
    <w:tmpl w:val="BB0C416C"/>
    <w:lvl w:ilvl="0">
      <w:start w:val="1"/>
      <w:numFmt w:val="decimal"/>
      <w:lvlText w:val="2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3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3.3.%3."/>
      <w:lvlJc w:val="left"/>
      <w:pPr>
        <w:ind w:left="1080" w:hanging="360"/>
      </w:pPr>
      <w:rPr>
        <w:rFonts w:ascii="PermianSerifTypeface" w:hAnsi="PermianSerif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40305F1"/>
    <w:multiLevelType w:val="multilevel"/>
    <w:tmpl w:val="AF32AA52"/>
    <w:lvl w:ilvl="0">
      <w:start w:val="1"/>
      <w:numFmt w:val="decimal"/>
      <w:lvlText w:val="3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901FDA"/>
    <w:multiLevelType w:val="multilevel"/>
    <w:tmpl w:val="0978A6FA"/>
    <w:lvl w:ilvl="0">
      <w:start w:val="1"/>
      <w:numFmt w:val="decimal"/>
      <w:lvlText w:val="6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C1BAC"/>
    <w:multiLevelType w:val="multilevel"/>
    <w:tmpl w:val="AE50B0FA"/>
    <w:lvl w:ilvl="0">
      <w:start w:val="1"/>
      <w:numFmt w:val="decimal"/>
      <w:lvlText w:val="7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  <w:strike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452260"/>
    <w:multiLevelType w:val="multilevel"/>
    <w:tmpl w:val="7AD00550"/>
    <w:lvl w:ilvl="0">
      <w:start w:val="1"/>
      <w:numFmt w:val="decimal"/>
      <w:lvlText w:val="6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D0367F"/>
    <w:multiLevelType w:val="multilevel"/>
    <w:tmpl w:val="1B087476"/>
    <w:lvl w:ilvl="0">
      <w:start w:val="1"/>
      <w:numFmt w:val="decimal"/>
      <w:lvlText w:val="3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A4B15A4"/>
    <w:multiLevelType w:val="multilevel"/>
    <w:tmpl w:val="1A72E1B4"/>
    <w:lvl w:ilvl="0">
      <w:start w:val="1"/>
      <w:numFmt w:val="decimal"/>
      <w:lvlText w:val="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0C29F3"/>
    <w:multiLevelType w:val="multilevel"/>
    <w:tmpl w:val="D5F6C11C"/>
    <w:lvl w:ilvl="0">
      <w:start w:val="1"/>
      <w:numFmt w:val="decimal"/>
      <w:lvlText w:val="10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D512144"/>
    <w:multiLevelType w:val="multilevel"/>
    <w:tmpl w:val="A44EEDC6"/>
    <w:lvl w:ilvl="0">
      <w:start w:val="1"/>
      <w:numFmt w:val="decimal"/>
      <w:lvlText w:val="5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F5E2F60"/>
    <w:multiLevelType w:val="multilevel"/>
    <w:tmpl w:val="0FF22570"/>
    <w:lvl w:ilvl="0">
      <w:start w:val="1"/>
      <w:numFmt w:val="decimal"/>
      <w:lvlText w:val="2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1F2CD1"/>
    <w:multiLevelType w:val="multilevel"/>
    <w:tmpl w:val="94CAA8AA"/>
    <w:lvl w:ilvl="0">
      <w:start w:val="1"/>
      <w:numFmt w:val="decimal"/>
      <w:lvlText w:val="2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DA2081A"/>
    <w:multiLevelType w:val="multilevel"/>
    <w:tmpl w:val="08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DEB72B6"/>
    <w:multiLevelType w:val="multilevel"/>
    <w:tmpl w:val="0C683D2E"/>
    <w:lvl w:ilvl="0">
      <w:start w:val="1"/>
      <w:numFmt w:val="decimal"/>
      <w:lvlText w:val="5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7104FB"/>
    <w:multiLevelType w:val="hybridMultilevel"/>
    <w:tmpl w:val="7E949C26"/>
    <w:lvl w:ilvl="0" w:tplc="0A5CBB80">
      <w:start w:val="1"/>
      <w:numFmt w:val="decimal"/>
      <w:lvlText w:val="%1."/>
      <w:lvlJc w:val="left"/>
      <w:pPr>
        <w:ind w:left="1211" w:hanging="360"/>
      </w:pPr>
      <w:rPr>
        <w:rFonts w:ascii="PermianSerifTypeface" w:hAnsi="PermianSerifTypeface" w:hint="default"/>
        <w:b/>
        <w:bCs w:val="0"/>
        <w:i w:val="0"/>
        <w:iCs/>
        <w:strike w:val="0"/>
      </w:rPr>
    </w:lvl>
    <w:lvl w:ilvl="1" w:tplc="6F9E9BD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D508B"/>
    <w:multiLevelType w:val="multilevel"/>
    <w:tmpl w:val="C0040E24"/>
    <w:lvl w:ilvl="0">
      <w:start w:val="1"/>
      <w:numFmt w:val="decimal"/>
      <w:lvlText w:val="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11D09FE"/>
    <w:multiLevelType w:val="multilevel"/>
    <w:tmpl w:val="B12A1950"/>
    <w:lvl w:ilvl="0">
      <w:start w:val="8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5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6FF3BBE"/>
    <w:multiLevelType w:val="multilevel"/>
    <w:tmpl w:val="16E01420"/>
    <w:lvl w:ilvl="0">
      <w:start w:val="59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58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28C2523E"/>
    <w:multiLevelType w:val="multilevel"/>
    <w:tmpl w:val="60BEDA30"/>
    <w:lvl w:ilvl="0">
      <w:start w:val="1"/>
      <w:numFmt w:val="decimal"/>
      <w:lvlText w:val="2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BE36E99"/>
    <w:multiLevelType w:val="multilevel"/>
    <w:tmpl w:val="82464274"/>
    <w:lvl w:ilvl="0">
      <w:start w:val="1"/>
      <w:numFmt w:val="decimal"/>
      <w:lvlText w:val="9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DB127A2"/>
    <w:multiLevelType w:val="multilevel"/>
    <w:tmpl w:val="37B0A5F0"/>
    <w:lvl w:ilvl="0">
      <w:start w:val="1"/>
      <w:numFmt w:val="decimal"/>
      <w:lvlText w:val="4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0D1D95"/>
    <w:multiLevelType w:val="multilevel"/>
    <w:tmpl w:val="614C35B6"/>
    <w:lvl w:ilvl="0">
      <w:start w:val="1"/>
      <w:numFmt w:val="decimal"/>
      <w:lvlText w:val="7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8B7ECA"/>
    <w:multiLevelType w:val="multilevel"/>
    <w:tmpl w:val="28BCF86A"/>
    <w:lvl w:ilvl="0">
      <w:start w:val="1"/>
      <w:numFmt w:val="decimal"/>
      <w:lvlText w:val="5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80D05A0"/>
    <w:multiLevelType w:val="multilevel"/>
    <w:tmpl w:val="5D9EE660"/>
    <w:lvl w:ilvl="0">
      <w:start w:val="1"/>
      <w:numFmt w:val="decimal"/>
      <w:lvlText w:val="79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E7A1DFF"/>
    <w:multiLevelType w:val="multilevel"/>
    <w:tmpl w:val="018A5D7C"/>
    <w:lvl w:ilvl="0">
      <w:start w:val="1"/>
      <w:numFmt w:val="decimal"/>
      <w:lvlText w:val="3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2771280"/>
    <w:multiLevelType w:val="multilevel"/>
    <w:tmpl w:val="24AC2974"/>
    <w:lvl w:ilvl="0">
      <w:start w:val="1"/>
      <w:numFmt w:val="decimal"/>
      <w:lvlText w:val="5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811AAD"/>
    <w:multiLevelType w:val="multilevel"/>
    <w:tmpl w:val="5712B288"/>
    <w:lvl w:ilvl="0">
      <w:start w:val="1"/>
      <w:numFmt w:val="decimal"/>
      <w:lvlText w:val="110.%1."/>
      <w:lvlJc w:val="left"/>
      <w:pPr>
        <w:ind w:left="360" w:hanging="360"/>
      </w:pPr>
      <w:rPr>
        <w:rFonts w:ascii="PermianSansTypeface" w:hAnsi="PermianSans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6C82557"/>
    <w:multiLevelType w:val="multilevel"/>
    <w:tmpl w:val="7186871C"/>
    <w:lvl w:ilvl="0">
      <w:start w:val="1"/>
      <w:numFmt w:val="decimal"/>
      <w:lvlText w:val="2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EF7F12"/>
    <w:multiLevelType w:val="multilevel"/>
    <w:tmpl w:val="37D4126A"/>
    <w:lvl w:ilvl="0">
      <w:start w:val="1"/>
      <w:numFmt w:val="decimal"/>
      <w:lvlText w:val="7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D71391E"/>
    <w:multiLevelType w:val="hybridMultilevel"/>
    <w:tmpl w:val="D8D64414"/>
    <w:lvl w:ilvl="0" w:tplc="2AECE48A">
      <w:start w:val="1"/>
      <w:numFmt w:val="decimal"/>
      <w:lvlText w:val="%1."/>
      <w:lvlJc w:val="left"/>
      <w:pPr>
        <w:ind w:left="1020" w:hanging="360"/>
      </w:pPr>
    </w:lvl>
    <w:lvl w:ilvl="1" w:tplc="14B4A054">
      <w:start w:val="1"/>
      <w:numFmt w:val="decimal"/>
      <w:lvlText w:val="%2."/>
      <w:lvlJc w:val="left"/>
      <w:pPr>
        <w:ind w:left="1020" w:hanging="360"/>
      </w:pPr>
    </w:lvl>
    <w:lvl w:ilvl="2" w:tplc="4A82E114">
      <w:start w:val="1"/>
      <w:numFmt w:val="decimal"/>
      <w:lvlText w:val="%3."/>
      <w:lvlJc w:val="left"/>
      <w:pPr>
        <w:ind w:left="1020" w:hanging="360"/>
      </w:pPr>
    </w:lvl>
    <w:lvl w:ilvl="3" w:tplc="63AE76A8">
      <w:start w:val="1"/>
      <w:numFmt w:val="decimal"/>
      <w:lvlText w:val="%4."/>
      <w:lvlJc w:val="left"/>
      <w:pPr>
        <w:ind w:left="1020" w:hanging="360"/>
      </w:pPr>
    </w:lvl>
    <w:lvl w:ilvl="4" w:tplc="886AF298">
      <w:start w:val="1"/>
      <w:numFmt w:val="decimal"/>
      <w:lvlText w:val="%5."/>
      <w:lvlJc w:val="left"/>
      <w:pPr>
        <w:ind w:left="1020" w:hanging="360"/>
      </w:pPr>
    </w:lvl>
    <w:lvl w:ilvl="5" w:tplc="42CCEB1E">
      <w:start w:val="1"/>
      <w:numFmt w:val="decimal"/>
      <w:lvlText w:val="%6."/>
      <w:lvlJc w:val="left"/>
      <w:pPr>
        <w:ind w:left="1020" w:hanging="360"/>
      </w:pPr>
    </w:lvl>
    <w:lvl w:ilvl="6" w:tplc="A4DE5EB8">
      <w:start w:val="1"/>
      <w:numFmt w:val="decimal"/>
      <w:lvlText w:val="%7."/>
      <w:lvlJc w:val="left"/>
      <w:pPr>
        <w:ind w:left="1020" w:hanging="360"/>
      </w:pPr>
    </w:lvl>
    <w:lvl w:ilvl="7" w:tplc="535085A8">
      <w:start w:val="1"/>
      <w:numFmt w:val="decimal"/>
      <w:lvlText w:val="%8."/>
      <w:lvlJc w:val="left"/>
      <w:pPr>
        <w:ind w:left="1020" w:hanging="360"/>
      </w:pPr>
    </w:lvl>
    <w:lvl w:ilvl="8" w:tplc="F8FC93E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0201017"/>
    <w:multiLevelType w:val="multilevel"/>
    <w:tmpl w:val="F6E07BDA"/>
    <w:lvl w:ilvl="0">
      <w:start w:val="1"/>
      <w:numFmt w:val="decimal"/>
      <w:lvlText w:val="84.%1."/>
      <w:lvlJc w:val="left"/>
      <w:pPr>
        <w:ind w:left="360" w:hanging="360"/>
      </w:pPr>
      <w:rPr>
        <w:rFonts w:ascii="PermianSansTypeface" w:hAnsi="PermianSans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1EF10A3"/>
    <w:multiLevelType w:val="hybridMultilevel"/>
    <w:tmpl w:val="75A24224"/>
    <w:lvl w:ilvl="0" w:tplc="FBACA5F4">
      <w:start w:val="1"/>
      <w:numFmt w:val="decimal"/>
      <w:lvlText w:val="%1."/>
      <w:lvlJc w:val="left"/>
      <w:pPr>
        <w:ind w:left="3054" w:hanging="360"/>
      </w:pPr>
      <w:rPr>
        <w:rFonts w:hint="default"/>
        <w:b/>
        <w:strike w:val="0"/>
        <w:color w:val="auto"/>
      </w:rPr>
    </w:lvl>
    <w:lvl w:ilvl="1" w:tplc="B946465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22D45"/>
    <w:multiLevelType w:val="multilevel"/>
    <w:tmpl w:val="787489B8"/>
    <w:lvl w:ilvl="0">
      <w:start w:val="1"/>
      <w:numFmt w:val="decimal"/>
      <w:lvlText w:val="21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8C249D"/>
    <w:multiLevelType w:val="multilevel"/>
    <w:tmpl w:val="D6343D56"/>
    <w:lvl w:ilvl="0">
      <w:start w:val="1"/>
      <w:numFmt w:val="decimal"/>
      <w:lvlText w:val="59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30251D"/>
    <w:multiLevelType w:val="multilevel"/>
    <w:tmpl w:val="656C6440"/>
    <w:lvl w:ilvl="0">
      <w:start w:val="1"/>
      <w:numFmt w:val="decimal"/>
      <w:lvlText w:val="4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7220820"/>
    <w:multiLevelType w:val="multilevel"/>
    <w:tmpl w:val="87B6F472"/>
    <w:lvl w:ilvl="0">
      <w:start w:val="1"/>
      <w:numFmt w:val="decimal"/>
      <w:lvlText w:val="4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A536CBE"/>
    <w:multiLevelType w:val="multilevel"/>
    <w:tmpl w:val="8336113C"/>
    <w:lvl w:ilvl="0">
      <w:start w:val="1"/>
      <w:numFmt w:val="decimal"/>
      <w:lvlText w:val="5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214AE7"/>
    <w:multiLevelType w:val="multilevel"/>
    <w:tmpl w:val="83E8BB9C"/>
    <w:lvl w:ilvl="0">
      <w:start w:val="1"/>
      <w:numFmt w:val="decimal"/>
      <w:lvlText w:val="8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34A61CF"/>
    <w:multiLevelType w:val="multilevel"/>
    <w:tmpl w:val="9318929C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7.%2.%3"/>
      <w:lvlJc w:val="left"/>
      <w:pPr>
        <w:ind w:left="1428" w:hanging="720"/>
      </w:pPr>
      <w:rPr>
        <w:rFonts w:ascii="PermianSerifTypeface" w:hAnsi="PermianSerifTypeface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8" w15:restartNumberingAfterBreak="0">
    <w:nsid w:val="64EC78C6"/>
    <w:multiLevelType w:val="multilevel"/>
    <w:tmpl w:val="5CFE136E"/>
    <w:lvl w:ilvl="0">
      <w:start w:val="1"/>
      <w:numFmt w:val="decimal"/>
      <w:lvlText w:val="2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65CC7DCD"/>
    <w:multiLevelType w:val="multilevel"/>
    <w:tmpl w:val="83D0453C"/>
    <w:lvl w:ilvl="0">
      <w:start w:val="1"/>
      <w:numFmt w:val="decimal"/>
      <w:lvlText w:val="87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8C34F50"/>
    <w:multiLevelType w:val="multilevel"/>
    <w:tmpl w:val="FA8A2096"/>
    <w:lvl w:ilvl="0">
      <w:start w:val="1"/>
      <w:numFmt w:val="decimal"/>
      <w:lvlText w:val="66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94F3E9B"/>
    <w:multiLevelType w:val="multilevel"/>
    <w:tmpl w:val="F73C4378"/>
    <w:lvl w:ilvl="0">
      <w:start w:val="6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66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2" w15:restartNumberingAfterBreak="0">
    <w:nsid w:val="69BC155D"/>
    <w:multiLevelType w:val="multilevel"/>
    <w:tmpl w:val="1332DF62"/>
    <w:lvl w:ilvl="0">
      <w:start w:val="1"/>
      <w:numFmt w:val="decimal"/>
      <w:lvlText w:val="4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B7F266B"/>
    <w:multiLevelType w:val="multilevel"/>
    <w:tmpl w:val="FD2C2C18"/>
    <w:lvl w:ilvl="0">
      <w:start w:val="1"/>
      <w:numFmt w:val="decimal"/>
      <w:lvlText w:val="6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805526"/>
    <w:multiLevelType w:val="multilevel"/>
    <w:tmpl w:val="6F42B2D2"/>
    <w:lvl w:ilvl="0">
      <w:start w:val="1"/>
      <w:numFmt w:val="decimal"/>
      <w:lvlText w:val="10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E271898"/>
    <w:multiLevelType w:val="multilevel"/>
    <w:tmpl w:val="6080A798"/>
    <w:lvl w:ilvl="0">
      <w:start w:val="1"/>
      <w:numFmt w:val="decimal"/>
      <w:lvlText w:val="10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EBD2592"/>
    <w:multiLevelType w:val="multilevel"/>
    <w:tmpl w:val="449ED648"/>
    <w:lvl w:ilvl="0">
      <w:start w:val="1"/>
      <w:numFmt w:val="decimal"/>
      <w:lvlText w:val="85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01D5FFE"/>
    <w:multiLevelType w:val="multilevel"/>
    <w:tmpl w:val="83388E18"/>
    <w:lvl w:ilvl="0">
      <w:start w:val="1"/>
      <w:numFmt w:val="decimal"/>
      <w:lvlText w:val="20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0E7199F"/>
    <w:multiLevelType w:val="multilevel"/>
    <w:tmpl w:val="81D680FE"/>
    <w:lvl w:ilvl="0">
      <w:start w:val="78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7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49" w15:restartNumberingAfterBreak="0">
    <w:nsid w:val="73364289"/>
    <w:multiLevelType w:val="multilevel"/>
    <w:tmpl w:val="C8BAFC9A"/>
    <w:lvl w:ilvl="0">
      <w:start w:val="1"/>
      <w:numFmt w:val="decimal"/>
      <w:lvlText w:val="8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43572E0"/>
    <w:multiLevelType w:val="multilevel"/>
    <w:tmpl w:val="B55AB638"/>
    <w:lvl w:ilvl="0">
      <w:start w:val="1"/>
      <w:numFmt w:val="decimal"/>
      <w:lvlText w:val="72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4617829"/>
    <w:multiLevelType w:val="multilevel"/>
    <w:tmpl w:val="C2ACCA9C"/>
    <w:lvl w:ilvl="0">
      <w:start w:val="1"/>
      <w:numFmt w:val="decimal"/>
      <w:lvlText w:val="104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A2A7099"/>
    <w:multiLevelType w:val="multilevel"/>
    <w:tmpl w:val="7CDA1CAA"/>
    <w:lvl w:ilvl="0">
      <w:start w:val="1"/>
      <w:numFmt w:val="decimal"/>
      <w:lvlText w:val="1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7B124473"/>
    <w:multiLevelType w:val="multilevel"/>
    <w:tmpl w:val="25546886"/>
    <w:lvl w:ilvl="0">
      <w:start w:val="1"/>
      <w:numFmt w:val="decimal"/>
      <w:lvlText w:val="103.%1."/>
      <w:lvlJc w:val="left"/>
      <w:pPr>
        <w:ind w:left="360" w:hanging="360"/>
      </w:pPr>
      <w:rPr>
        <w:rFonts w:ascii="PermianSerifTypeface" w:hAnsi="PermianSerifTypeface" w:hint="default"/>
        <w:b w:val="0"/>
        <w:i w:val="0"/>
      </w:rPr>
    </w:lvl>
    <w:lvl w:ilvl="1">
      <w:start w:val="1"/>
      <w:numFmt w:val="decimal"/>
      <w:lvlText w:val="24.2.%2."/>
      <w:lvlJc w:val="left"/>
      <w:pPr>
        <w:ind w:left="1495" w:hanging="360"/>
      </w:pPr>
      <w:rPr>
        <w:rFonts w:ascii="PermianSansTypeface" w:hAnsi="PermianSansTypeface" w:hint="default"/>
        <w:b w:val="0"/>
        <w:i w:val="0"/>
      </w:rPr>
    </w:lvl>
    <w:lvl w:ilvl="2">
      <w:start w:val="1"/>
      <w:numFmt w:val="decimal"/>
      <w:lvlText w:val="24.3.%3."/>
      <w:lvlJc w:val="left"/>
      <w:pPr>
        <w:ind w:left="1080" w:hanging="360"/>
      </w:pPr>
      <w:rPr>
        <w:rFonts w:ascii="PermianSansTypeface" w:hAnsi="PermianSansTypeface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7B1659DC"/>
    <w:multiLevelType w:val="multilevel"/>
    <w:tmpl w:val="616ABD5C"/>
    <w:lvl w:ilvl="0">
      <w:start w:val="79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78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55" w15:restartNumberingAfterBreak="0">
    <w:nsid w:val="7D8D5DBF"/>
    <w:multiLevelType w:val="multilevel"/>
    <w:tmpl w:val="5FDE1DA8"/>
    <w:lvl w:ilvl="0">
      <w:start w:val="8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3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 w16cid:durableId="1150485701">
    <w:abstractNumId w:val="13"/>
  </w:num>
  <w:num w:numId="2" w16cid:durableId="20516984">
    <w:abstractNumId w:val="30"/>
  </w:num>
  <w:num w:numId="3" w16cid:durableId="273514252">
    <w:abstractNumId w:val="14"/>
  </w:num>
  <w:num w:numId="4" w16cid:durableId="2056347233">
    <w:abstractNumId w:val="11"/>
  </w:num>
  <w:num w:numId="5" w16cid:durableId="548499660">
    <w:abstractNumId w:val="28"/>
  </w:num>
  <w:num w:numId="6" w16cid:durableId="70394661">
    <w:abstractNumId w:val="6"/>
  </w:num>
  <w:num w:numId="7" w16cid:durableId="1350370267">
    <w:abstractNumId w:val="49"/>
  </w:num>
  <w:num w:numId="8" w16cid:durableId="1295065595">
    <w:abstractNumId w:val="52"/>
  </w:num>
  <w:num w:numId="9" w16cid:durableId="2035842218">
    <w:abstractNumId w:val="47"/>
  </w:num>
  <w:num w:numId="10" w16cid:durableId="163932638">
    <w:abstractNumId w:val="31"/>
  </w:num>
  <w:num w:numId="11" w16cid:durableId="548809759">
    <w:abstractNumId w:val="26"/>
  </w:num>
  <w:num w:numId="12" w16cid:durableId="530339433">
    <w:abstractNumId w:val="0"/>
  </w:num>
  <w:num w:numId="13" w16cid:durableId="1237322075">
    <w:abstractNumId w:val="38"/>
  </w:num>
  <w:num w:numId="14" w16cid:durableId="1511025450">
    <w:abstractNumId w:val="17"/>
  </w:num>
  <w:num w:numId="15" w16cid:durableId="586157984">
    <w:abstractNumId w:val="9"/>
  </w:num>
  <w:num w:numId="16" w16cid:durableId="1733120234">
    <w:abstractNumId w:val="10"/>
  </w:num>
  <w:num w:numId="17" w16cid:durableId="1087926786">
    <w:abstractNumId w:val="1"/>
  </w:num>
  <w:num w:numId="18" w16cid:durableId="1566915259">
    <w:abstractNumId w:val="5"/>
  </w:num>
  <w:num w:numId="19" w16cid:durableId="1441560303">
    <w:abstractNumId w:val="23"/>
  </w:num>
  <w:num w:numId="20" w16cid:durableId="1671832018">
    <w:abstractNumId w:val="42"/>
  </w:num>
  <w:num w:numId="21" w16cid:durableId="602342469">
    <w:abstractNumId w:val="19"/>
  </w:num>
  <w:num w:numId="22" w16cid:durableId="1781681770">
    <w:abstractNumId w:val="34"/>
  </w:num>
  <w:num w:numId="23" w16cid:durableId="1699770970">
    <w:abstractNumId w:val="33"/>
  </w:num>
  <w:num w:numId="24" w16cid:durableId="1411346317">
    <w:abstractNumId w:val="21"/>
  </w:num>
  <w:num w:numId="25" w16cid:durableId="2042199923">
    <w:abstractNumId w:val="35"/>
  </w:num>
  <w:num w:numId="26" w16cid:durableId="1110513023">
    <w:abstractNumId w:val="8"/>
  </w:num>
  <w:num w:numId="27" w16cid:durableId="120997691">
    <w:abstractNumId w:val="12"/>
  </w:num>
  <w:num w:numId="28" w16cid:durableId="1455830191">
    <w:abstractNumId w:val="24"/>
  </w:num>
  <w:num w:numId="29" w16cid:durableId="461073840">
    <w:abstractNumId w:val="16"/>
  </w:num>
  <w:num w:numId="30" w16cid:durableId="1817450740">
    <w:abstractNumId w:val="32"/>
  </w:num>
  <w:num w:numId="31" w16cid:durableId="624240311">
    <w:abstractNumId w:val="4"/>
  </w:num>
  <w:num w:numId="32" w16cid:durableId="240599094">
    <w:abstractNumId w:val="2"/>
  </w:num>
  <w:num w:numId="33" w16cid:durableId="1574585690">
    <w:abstractNumId w:val="43"/>
  </w:num>
  <w:num w:numId="34" w16cid:durableId="1513882651">
    <w:abstractNumId w:val="40"/>
  </w:num>
  <w:num w:numId="35" w16cid:durableId="911695519">
    <w:abstractNumId w:val="41"/>
  </w:num>
  <w:num w:numId="36" w16cid:durableId="108164095">
    <w:abstractNumId w:val="3"/>
  </w:num>
  <w:num w:numId="37" w16cid:durableId="1517618977">
    <w:abstractNumId w:val="50"/>
  </w:num>
  <w:num w:numId="38" w16cid:durableId="559287884">
    <w:abstractNumId w:val="27"/>
  </w:num>
  <w:num w:numId="39" w16cid:durableId="1717587706">
    <w:abstractNumId w:val="48"/>
  </w:num>
  <w:num w:numId="40" w16cid:durableId="1023896351">
    <w:abstractNumId w:val="37"/>
  </w:num>
  <w:num w:numId="41" w16cid:durableId="1540389482">
    <w:abstractNumId w:val="20"/>
  </w:num>
  <w:num w:numId="42" w16cid:durableId="850948016">
    <w:abstractNumId w:val="54"/>
  </w:num>
  <w:num w:numId="43" w16cid:durableId="1729066351">
    <w:abstractNumId w:val="22"/>
  </w:num>
  <w:num w:numId="44" w16cid:durableId="2079283499">
    <w:abstractNumId w:val="36"/>
  </w:num>
  <w:num w:numId="45" w16cid:durableId="1545485773">
    <w:abstractNumId w:val="55"/>
  </w:num>
  <w:num w:numId="46" w16cid:durableId="349381859">
    <w:abstractNumId w:val="29"/>
  </w:num>
  <w:num w:numId="47" w16cid:durableId="849678508">
    <w:abstractNumId w:val="46"/>
  </w:num>
  <w:num w:numId="48" w16cid:durableId="226690953">
    <w:abstractNumId w:val="15"/>
  </w:num>
  <w:num w:numId="49" w16cid:durableId="178588935">
    <w:abstractNumId w:val="39"/>
  </w:num>
  <w:num w:numId="50" w16cid:durableId="1658730670">
    <w:abstractNumId w:val="18"/>
  </w:num>
  <w:num w:numId="51" w16cid:durableId="1252935630">
    <w:abstractNumId w:val="45"/>
  </w:num>
  <w:num w:numId="52" w16cid:durableId="1582062384">
    <w:abstractNumId w:val="7"/>
  </w:num>
  <w:num w:numId="53" w16cid:durableId="1445541668">
    <w:abstractNumId w:val="53"/>
  </w:num>
  <w:num w:numId="54" w16cid:durableId="1147434020">
    <w:abstractNumId w:val="51"/>
  </w:num>
  <w:num w:numId="55" w16cid:durableId="299967992">
    <w:abstractNumId w:val="44"/>
  </w:num>
  <w:num w:numId="56" w16cid:durableId="17022258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BF1"/>
    <w:rsid w:val="00000907"/>
    <w:rsid w:val="00001202"/>
    <w:rsid w:val="000012DF"/>
    <w:rsid w:val="00002E83"/>
    <w:rsid w:val="000037CE"/>
    <w:rsid w:val="00004DAA"/>
    <w:rsid w:val="00007754"/>
    <w:rsid w:val="00007813"/>
    <w:rsid w:val="000103FE"/>
    <w:rsid w:val="000111DD"/>
    <w:rsid w:val="000114BF"/>
    <w:rsid w:val="00011B5C"/>
    <w:rsid w:val="00012F73"/>
    <w:rsid w:val="0001303E"/>
    <w:rsid w:val="00015AB0"/>
    <w:rsid w:val="00015F57"/>
    <w:rsid w:val="0001636F"/>
    <w:rsid w:val="000167A3"/>
    <w:rsid w:val="000202F6"/>
    <w:rsid w:val="000203D1"/>
    <w:rsid w:val="000231B8"/>
    <w:rsid w:val="000236F2"/>
    <w:rsid w:val="00026A70"/>
    <w:rsid w:val="00026DE5"/>
    <w:rsid w:val="0003047D"/>
    <w:rsid w:val="000315BD"/>
    <w:rsid w:val="00032CAA"/>
    <w:rsid w:val="00033C86"/>
    <w:rsid w:val="00034AFC"/>
    <w:rsid w:val="0003517C"/>
    <w:rsid w:val="000357FA"/>
    <w:rsid w:val="00035A8B"/>
    <w:rsid w:val="00036141"/>
    <w:rsid w:val="00036BCF"/>
    <w:rsid w:val="00037857"/>
    <w:rsid w:val="00037E07"/>
    <w:rsid w:val="00041B95"/>
    <w:rsid w:val="00041BC6"/>
    <w:rsid w:val="00041D63"/>
    <w:rsid w:val="000424CA"/>
    <w:rsid w:val="0004255D"/>
    <w:rsid w:val="00042AC2"/>
    <w:rsid w:val="00042D18"/>
    <w:rsid w:val="00042E20"/>
    <w:rsid w:val="00043A87"/>
    <w:rsid w:val="000469A3"/>
    <w:rsid w:val="00047D6F"/>
    <w:rsid w:val="00050357"/>
    <w:rsid w:val="00050A8E"/>
    <w:rsid w:val="00051286"/>
    <w:rsid w:val="0005393D"/>
    <w:rsid w:val="00053C58"/>
    <w:rsid w:val="000559C9"/>
    <w:rsid w:val="00055B39"/>
    <w:rsid w:val="0005627F"/>
    <w:rsid w:val="00062589"/>
    <w:rsid w:val="000625BD"/>
    <w:rsid w:val="0006328B"/>
    <w:rsid w:val="00063353"/>
    <w:rsid w:val="00063BB3"/>
    <w:rsid w:val="00063C12"/>
    <w:rsid w:val="00064F6D"/>
    <w:rsid w:val="0006614E"/>
    <w:rsid w:val="000661F3"/>
    <w:rsid w:val="00070162"/>
    <w:rsid w:val="00071058"/>
    <w:rsid w:val="00071D82"/>
    <w:rsid w:val="00072DA5"/>
    <w:rsid w:val="000730D5"/>
    <w:rsid w:val="000738BF"/>
    <w:rsid w:val="00073A5A"/>
    <w:rsid w:val="00074C8E"/>
    <w:rsid w:val="00080F92"/>
    <w:rsid w:val="0008168E"/>
    <w:rsid w:val="00081F39"/>
    <w:rsid w:val="00083A07"/>
    <w:rsid w:val="00083DF5"/>
    <w:rsid w:val="00084803"/>
    <w:rsid w:val="00084AA7"/>
    <w:rsid w:val="00084CBE"/>
    <w:rsid w:val="0008540D"/>
    <w:rsid w:val="00086185"/>
    <w:rsid w:val="000863F6"/>
    <w:rsid w:val="0009057C"/>
    <w:rsid w:val="00090B23"/>
    <w:rsid w:val="0009392D"/>
    <w:rsid w:val="00093AD8"/>
    <w:rsid w:val="00096C5F"/>
    <w:rsid w:val="00097C61"/>
    <w:rsid w:val="000A2D20"/>
    <w:rsid w:val="000A2D70"/>
    <w:rsid w:val="000A34DD"/>
    <w:rsid w:val="000A3735"/>
    <w:rsid w:val="000A398A"/>
    <w:rsid w:val="000A41CC"/>
    <w:rsid w:val="000A43A1"/>
    <w:rsid w:val="000A44B1"/>
    <w:rsid w:val="000A5429"/>
    <w:rsid w:val="000A5D68"/>
    <w:rsid w:val="000A5F25"/>
    <w:rsid w:val="000A6D8B"/>
    <w:rsid w:val="000A7FA6"/>
    <w:rsid w:val="000B0C62"/>
    <w:rsid w:val="000B1303"/>
    <w:rsid w:val="000B1F02"/>
    <w:rsid w:val="000B286E"/>
    <w:rsid w:val="000B3827"/>
    <w:rsid w:val="000B4C67"/>
    <w:rsid w:val="000B537C"/>
    <w:rsid w:val="000B5802"/>
    <w:rsid w:val="000B59CA"/>
    <w:rsid w:val="000B5A8A"/>
    <w:rsid w:val="000B5E8A"/>
    <w:rsid w:val="000B5F2B"/>
    <w:rsid w:val="000B7402"/>
    <w:rsid w:val="000C2B27"/>
    <w:rsid w:val="000C3C58"/>
    <w:rsid w:val="000C3C89"/>
    <w:rsid w:val="000C3D9B"/>
    <w:rsid w:val="000C5E1B"/>
    <w:rsid w:val="000C78F3"/>
    <w:rsid w:val="000D1020"/>
    <w:rsid w:val="000D19D6"/>
    <w:rsid w:val="000D1A11"/>
    <w:rsid w:val="000D2E84"/>
    <w:rsid w:val="000D4239"/>
    <w:rsid w:val="000D644C"/>
    <w:rsid w:val="000D65CA"/>
    <w:rsid w:val="000D6C6C"/>
    <w:rsid w:val="000D7972"/>
    <w:rsid w:val="000E1394"/>
    <w:rsid w:val="000E32D0"/>
    <w:rsid w:val="000E370C"/>
    <w:rsid w:val="000E3D4A"/>
    <w:rsid w:val="000E49CB"/>
    <w:rsid w:val="000E4AAE"/>
    <w:rsid w:val="000E4D23"/>
    <w:rsid w:val="000E689C"/>
    <w:rsid w:val="000E6AAE"/>
    <w:rsid w:val="000E6EB9"/>
    <w:rsid w:val="000E6F67"/>
    <w:rsid w:val="000E7DF9"/>
    <w:rsid w:val="000F011B"/>
    <w:rsid w:val="000F23EC"/>
    <w:rsid w:val="000F26F8"/>
    <w:rsid w:val="000F2CA6"/>
    <w:rsid w:val="000F5141"/>
    <w:rsid w:val="000F5F8C"/>
    <w:rsid w:val="000F6085"/>
    <w:rsid w:val="000F6736"/>
    <w:rsid w:val="00101CD8"/>
    <w:rsid w:val="001032C9"/>
    <w:rsid w:val="0010589D"/>
    <w:rsid w:val="00106CAE"/>
    <w:rsid w:val="0010739B"/>
    <w:rsid w:val="0011021A"/>
    <w:rsid w:val="001112BB"/>
    <w:rsid w:val="00112154"/>
    <w:rsid w:val="00113169"/>
    <w:rsid w:val="001132D5"/>
    <w:rsid w:val="0011344C"/>
    <w:rsid w:val="00116F33"/>
    <w:rsid w:val="00117BBC"/>
    <w:rsid w:val="00117DA6"/>
    <w:rsid w:val="00120363"/>
    <w:rsid w:val="0012130F"/>
    <w:rsid w:val="001221A4"/>
    <w:rsid w:val="00122D92"/>
    <w:rsid w:val="001240F4"/>
    <w:rsid w:val="001242A1"/>
    <w:rsid w:val="0012439F"/>
    <w:rsid w:val="0012599D"/>
    <w:rsid w:val="001273BB"/>
    <w:rsid w:val="00127694"/>
    <w:rsid w:val="00127F2B"/>
    <w:rsid w:val="001308FA"/>
    <w:rsid w:val="001325CF"/>
    <w:rsid w:val="00132D55"/>
    <w:rsid w:val="00134A2F"/>
    <w:rsid w:val="00135CAF"/>
    <w:rsid w:val="00135ED6"/>
    <w:rsid w:val="001360DC"/>
    <w:rsid w:val="00136A71"/>
    <w:rsid w:val="00136F52"/>
    <w:rsid w:val="00141657"/>
    <w:rsid w:val="001428DF"/>
    <w:rsid w:val="00142D05"/>
    <w:rsid w:val="001431D9"/>
    <w:rsid w:val="00143581"/>
    <w:rsid w:val="00143830"/>
    <w:rsid w:val="00143853"/>
    <w:rsid w:val="00146A21"/>
    <w:rsid w:val="0015052D"/>
    <w:rsid w:val="00150BCA"/>
    <w:rsid w:val="00152F52"/>
    <w:rsid w:val="00152FF3"/>
    <w:rsid w:val="00153B86"/>
    <w:rsid w:val="001541DA"/>
    <w:rsid w:val="00156B90"/>
    <w:rsid w:val="00156E9F"/>
    <w:rsid w:val="00157468"/>
    <w:rsid w:val="0016089A"/>
    <w:rsid w:val="001616A9"/>
    <w:rsid w:val="00162DDE"/>
    <w:rsid w:val="00164B1C"/>
    <w:rsid w:val="0016573A"/>
    <w:rsid w:val="00166C97"/>
    <w:rsid w:val="00167FE2"/>
    <w:rsid w:val="00170CB2"/>
    <w:rsid w:val="0017196F"/>
    <w:rsid w:val="00171F3B"/>
    <w:rsid w:val="001730E5"/>
    <w:rsid w:val="00173451"/>
    <w:rsid w:val="00174529"/>
    <w:rsid w:val="001745AF"/>
    <w:rsid w:val="001754F5"/>
    <w:rsid w:val="001806EE"/>
    <w:rsid w:val="001812BB"/>
    <w:rsid w:val="00181EB6"/>
    <w:rsid w:val="00182050"/>
    <w:rsid w:val="001827B2"/>
    <w:rsid w:val="0018498C"/>
    <w:rsid w:val="001853CE"/>
    <w:rsid w:val="00187029"/>
    <w:rsid w:val="00187893"/>
    <w:rsid w:val="00190384"/>
    <w:rsid w:val="00190801"/>
    <w:rsid w:val="00190D8A"/>
    <w:rsid w:val="001924D0"/>
    <w:rsid w:val="00193476"/>
    <w:rsid w:val="00193DF2"/>
    <w:rsid w:val="00194E9A"/>
    <w:rsid w:val="00195352"/>
    <w:rsid w:val="00196453"/>
    <w:rsid w:val="00196534"/>
    <w:rsid w:val="0019783C"/>
    <w:rsid w:val="001A0482"/>
    <w:rsid w:val="001A10F8"/>
    <w:rsid w:val="001A2274"/>
    <w:rsid w:val="001A46F5"/>
    <w:rsid w:val="001A5905"/>
    <w:rsid w:val="001A5BDD"/>
    <w:rsid w:val="001A5E63"/>
    <w:rsid w:val="001A5EBA"/>
    <w:rsid w:val="001A7602"/>
    <w:rsid w:val="001A791A"/>
    <w:rsid w:val="001A7D52"/>
    <w:rsid w:val="001B068D"/>
    <w:rsid w:val="001B0C8D"/>
    <w:rsid w:val="001B0E5B"/>
    <w:rsid w:val="001B162F"/>
    <w:rsid w:val="001B1C91"/>
    <w:rsid w:val="001B3199"/>
    <w:rsid w:val="001B31DA"/>
    <w:rsid w:val="001B5016"/>
    <w:rsid w:val="001B5D52"/>
    <w:rsid w:val="001B7420"/>
    <w:rsid w:val="001C07E4"/>
    <w:rsid w:val="001C100C"/>
    <w:rsid w:val="001C3B48"/>
    <w:rsid w:val="001C43F3"/>
    <w:rsid w:val="001C4424"/>
    <w:rsid w:val="001C5DCF"/>
    <w:rsid w:val="001C5F21"/>
    <w:rsid w:val="001D047C"/>
    <w:rsid w:val="001D0A72"/>
    <w:rsid w:val="001D0FAE"/>
    <w:rsid w:val="001D15D0"/>
    <w:rsid w:val="001D2520"/>
    <w:rsid w:val="001D305E"/>
    <w:rsid w:val="001D45E5"/>
    <w:rsid w:val="001D4D2D"/>
    <w:rsid w:val="001D50F0"/>
    <w:rsid w:val="001D629C"/>
    <w:rsid w:val="001E0BFD"/>
    <w:rsid w:val="001E2342"/>
    <w:rsid w:val="001E2C6F"/>
    <w:rsid w:val="001E2FB9"/>
    <w:rsid w:val="001E3938"/>
    <w:rsid w:val="001E5489"/>
    <w:rsid w:val="001E6366"/>
    <w:rsid w:val="001E7CD9"/>
    <w:rsid w:val="001F1083"/>
    <w:rsid w:val="001F1518"/>
    <w:rsid w:val="001F159E"/>
    <w:rsid w:val="001F18AE"/>
    <w:rsid w:val="001F195E"/>
    <w:rsid w:val="001F1DC0"/>
    <w:rsid w:val="001F3F4E"/>
    <w:rsid w:val="001F4712"/>
    <w:rsid w:val="001F5BE6"/>
    <w:rsid w:val="001F68DC"/>
    <w:rsid w:val="00200A95"/>
    <w:rsid w:val="0020120D"/>
    <w:rsid w:val="00201533"/>
    <w:rsid w:val="002017A0"/>
    <w:rsid w:val="00201D86"/>
    <w:rsid w:val="00202AA9"/>
    <w:rsid w:val="00203BE9"/>
    <w:rsid w:val="0020430D"/>
    <w:rsid w:val="0020439E"/>
    <w:rsid w:val="00204D5F"/>
    <w:rsid w:val="00206B4D"/>
    <w:rsid w:val="00207546"/>
    <w:rsid w:val="002104E3"/>
    <w:rsid w:val="00211993"/>
    <w:rsid w:val="00212B39"/>
    <w:rsid w:val="00214BFD"/>
    <w:rsid w:val="00214F8C"/>
    <w:rsid w:val="002153EB"/>
    <w:rsid w:val="00217CDF"/>
    <w:rsid w:val="002215CE"/>
    <w:rsid w:val="00222D4D"/>
    <w:rsid w:val="00223232"/>
    <w:rsid w:val="0022367E"/>
    <w:rsid w:val="00223C03"/>
    <w:rsid w:val="00223E06"/>
    <w:rsid w:val="00224822"/>
    <w:rsid w:val="0022492E"/>
    <w:rsid w:val="002251FA"/>
    <w:rsid w:val="002254E5"/>
    <w:rsid w:val="0022773C"/>
    <w:rsid w:val="00230F6D"/>
    <w:rsid w:val="00234093"/>
    <w:rsid w:val="00234095"/>
    <w:rsid w:val="0023464D"/>
    <w:rsid w:val="002371B7"/>
    <w:rsid w:val="0023758B"/>
    <w:rsid w:val="00241295"/>
    <w:rsid w:val="00241564"/>
    <w:rsid w:val="00241D75"/>
    <w:rsid w:val="00241EBC"/>
    <w:rsid w:val="0024213A"/>
    <w:rsid w:val="00242EE8"/>
    <w:rsid w:val="00243E1C"/>
    <w:rsid w:val="002440FE"/>
    <w:rsid w:val="002450B4"/>
    <w:rsid w:val="0024592B"/>
    <w:rsid w:val="0024597F"/>
    <w:rsid w:val="00247918"/>
    <w:rsid w:val="00250BAD"/>
    <w:rsid w:val="00251160"/>
    <w:rsid w:val="002530BE"/>
    <w:rsid w:val="00254E9A"/>
    <w:rsid w:val="00255E95"/>
    <w:rsid w:val="0025656C"/>
    <w:rsid w:val="002572A5"/>
    <w:rsid w:val="002573B5"/>
    <w:rsid w:val="00260832"/>
    <w:rsid w:val="00261A33"/>
    <w:rsid w:val="002620B6"/>
    <w:rsid w:val="0026286D"/>
    <w:rsid w:val="0026421A"/>
    <w:rsid w:val="002646C6"/>
    <w:rsid w:val="00264BA4"/>
    <w:rsid w:val="00266F50"/>
    <w:rsid w:val="00267E39"/>
    <w:rsid w:val="0027020F"/>
    <w:rsid w:val="00270C5C"/>
    <w:rsid w:val="00272A20"/>
    <w:rsid w:val="00274866"/>
    <w:rsid w:val="00275D75"/>
    <w:rsid w:val="002775C8"/>
    <w:rsid w:val="00283D99"/>
    <w:rsid w:val="00283DDF"/>
    <w:rsid w:val="002848A4"/>
    <w:rsid w:val="0028537B"/>
    <w:rsid w:val="00285511"/>
    <w:rsid w:val="00285535"/>
    <w:rsid w:val="00286DB1"/>
    <w:rsid w:val="002901DF"/>
    <w:rsid w:val="00290458"/>
    <w:rsid w:val="00290F09"/>
    <w:rsid w:val="0029271E"/>
    <w:rsid w:val="00292D85"/>
    <w:rsid w:val="00297490"/>
    <w:rsid w:val="002A0B15"/>
    <w:rsid w:val="002A25E7"/>
    <w:rsid w:val="002A2A77"/>
    <w:rsid w:val="002A46BC"/>
    <w:rsid w:val="002A5092"/>
    <w:rsid w:val="002A5689"/>
    <w:rsid w:val="002A5A94"/>
    <w:rsid w:val="002A7111"/>
    <w:rsid w:val="002A788A"/>
    <w:rsid w:val="002B079D"/>
    <w:rsid w:val="002B0C8A"/>
    <w:rsid w:val="002B19F9"/>
    <w:rsid w:val="002B1DEB"/>
    <w:rsid w:val="002B21AB"/>
    <w:rsid w:val="002B3BA3"/>
    <w:rsid w:val="002B5350"/>
    <w:rsid w:val="002B5408"/>
    <w:rsid w:val="002B5EDC"/>
    <w:rsid w:val="002B7CF8"/>
    <w:rsid w:val="002C026F"/>
    <w:rsid w:val="002C0EDE"/>
    <w:rsid w:val="002C28BC"/>
    <w:rsid w:val="002C38C6"/>
    <w:rsid w:val="002C3BE7"/>
    <w:rsid w:val="002C3FBC"/>
    <w:rsid w:val="002C4471"/>
    <w:rsid w:val="002C5361"/>
    <w:rsid w:val="002C58D5"/>
    <w:rsid w:val="002C5900"/>
    <w:rsid w:val="002C5E21"/>
    <w:rsid w:val="002C615D"/>
    <w:rsid w:val="002C62D2"/>
    <w:rsid w:val="002C66CB"/>
    <w:rsid w:val="002D2BC6"/>
    <w:rsid w:val="002D46E2"/>
    <w:rsid w:val="002D5A0D"/>
    <w:rsid w:val="002D5A52"/>
    <w:rsid w:val="002D6627"/>
    <w:rsid w:val="002E1067"/>
    <w:rsid w:val="002E20D3"/>
    <w:rsid w:val="002E30C6"/>
    <w:rsid w:val="002E3BBF"/>
    <w:rsid w:val="002E3E03"/>
    <w:rsid w:val="002E4747"/>
    <w:rsid w:val="002E60F1"/>
    <w:rsid w:val="002E6974"/>
    <w:rsid w:val="002E7510"/>
    <w:rsid w:val="002E79CE"/>
    <w:rsid w:val="002F20C6"/>
    <w:rsid w:val="002F334C"/>
    <w:rsid w:val="002F4790"/>
    <w:rsid w:val="002F479E"/>
    <w:rsid w:val="002F5AE1"/>
    <w:rsid w:val="002F5DB9"/>
    <w:rsid w:val="002F7657"/>
    <w:rsid w:val="00300277"/>
    <w:rsid w:val="003012CD"/>
    <w:rsid w:val="00304CBB"/>
    <w:rsid w:val="00305401"/>
    <w:rsid w:val="00307E83"/>
    <w:rsid w:val="00310523"/>
    <w:rsid w:val="00310E05"/>
    <w:rsid w:val="0031179A"/>
    <w:rsid w:val="003127D7"/>
    <w:rsid w:val="00313A26"/>
    <w:rsid w:val="00313C5E"/>
    <w:rsid w:val="00314476"/>
    <w:rsid w:val="0031451A"/>
    <w:rsid w:val="003145A8"/>
    <w:rsid w:val="003167AF"/>
    <w:rsid w:val="00317252"/>
    <w:rsid w:val="0031752E"/>
    <w:rsid w:val="0032133C"/>
    <w:rsid w:val="00321D66"/>
    <w:rsid w:val="003237DA"/>
    <w:rsid w:val="0032667C"/>
    <w:rsid w:val="00326A30"/>
    <w:rsid w:val="003304EF"/>
    <w:rsid w:val="00330819"/>
    <w:rsid w:val="00330972"/>
    <w:rsid w:val="00330C4B"/>
    <w:rsid w:val="00330DBC"/>
    <w:rsid w:val="003322F2"/>
    <w:rsid w:val="00332948"/>
    <w:rsid w:val="00332F8B"/>
    <w:rsid w:val="003334B9"/>
    <w:rsid w:val="003348F9"/>
    <w:rsid w:val="003363DF"/>
    <w:rsid w:val="00336CA1"/>
    <w:rsid w:val="00337853"/>
    <w:rsid w:val="00337C75"/>
    <w:rsid w:val="0034087C"/>
    <w:rsid w:val="00343B4E"/>
    <w:rsid w:val="00343DF4"/>
    <w:rsid w:val="00344268"/>
    <w:rsid w:val="0034429E"/>
    <w:rsid w:val="00347797"/>
    <w:rsid w:val="003479A4"/>
    <w:rsid w:val="00351F95"/>
    <w:rsid w:val="003520DC"/>
    <w:rsid w:val="00356730"/>
    <w:rsid w:val="00357982"/>
    <w:rsid w:val="0035799C"/>
    <w:rsid w:val="003602DA"/>
    <w:rsid w:val="00361F12"/>
    <w:rsid w:val="00362860"/>
    <w:rsid w:val="0036340D"/>
    <w:rsid w:val="00363CE1"/>
    <w:rsid w:val="00363F40"/>
    <w:rsid w:val="003643FF"/>
    <w:rsid w:val="00365B51"/>
    <w:rsid w:val="00366FFC"/>
    <w:rsid w:val="0036778D"/>
    <w:rsid w:val="00367A99"/>
    <w:rsid w:val="00367CB3"/>
    <w:rsid w:val="003714F8"/>
    <w:rsid w:val="00371B2F"/>
    <w:rsid w:val="00372346"/>
    <w:rsid w:val="00372833"/>
    <w:rsid w:val="00372DD1"/>
    <w:rsid w:val="00373828"/>
    <w:rsid w:val="00375F97"/>
    <w:rsid w:val="003767D2"/>
    <w:rsid w:val="00376D66"/>
    <w:rsid w:val="00380629"/>
    <w:rsid w:val="003823A6"/>
    <w:rsid w:val="00382942"/>
    <w:rsid w:val="0038473F"/>
    <w:rsid w:val="00384A48"/>
    <w:rsid w:val="00385D44"/>
    <w:rsid w:val="00385D84"/>
    <w:rsid w:val="00385E1B"/>
    <w:rsid w:val="0038664E"/>
    <w:rsid w:val="00386D99"/>
    <w:rsid w:val="00387BE4"/>
    <w:rsid w:val="00390B8A"/>
    <w:rsid w:val="00391102"/>
    <w:rsid w:val="00391F30"/>
    <w:rsid w:val="003938DA"/>
    <w:rsid w:val="003940BE"/>
    <w:rsid w:val="00395371"/>
    <w:rsid w:val="00396524"/>
    <w:rsid w:val="00397367"/>
    <w:rsid w:val="003A0315"/>
    <w:rsid w:val="003A0AFD"/>
    <w:rsid w:val="003A1491"/>
    <w:rsid w:val="003A14C1"/>
    <w:rsid w:val="003A1C43"/>
    <w:rsid w:val="003A2F06"/>
    <w:rsid w:val="003A3400"/>
    <w:rsid w:val="003A37D0"/>
    <w:rsid w:val="003A7254"/>
    <w:rsid w:val="003A767D"/>
    <w:rsid w:val="003B09C2"/>
    <w:rsid w:val="003B0A23"/>
    <w:rsid w:val="003B36D0"/>
    <w:rsid w:val="003B3E49"/>
    <w:rsid w:val="003B5705"/>
    <w:rsid w:val="003B5F3F"/>
    <w:rsid w:val="003B7448"/>
    <w:rsid w:val="003B774A"/>
    <w:rsid w:val="003C0CB2"/>
    <w:rsid w:val="003C1517"/>
    <w:rsid w:val="003C2320"/>
    <w:rsid w:val="003C600D"/>
    <w:rsid w:val="003C61DD"/>
    <w:rsid w:val="003C6BBF"/>
    <w:rsid w:val="003C79D0"/>
    <w:rsid w:val="003D0B02"/>
    <w:rsid w:val="003D0D37"/>
    <w:rsid w:val="003D1640"/>
    <w:rsid w:val="003D1DE1"/>
    <w:rsid w:val="003D2344"/>
    <w:rsid w:val="003D3A56"/>
    <w:rsid w:val="003D54BE"/>
    <w:rsid w:val="003D54D0"/>
    <w:rsid w:val="003D63C4"/>
    <w:rsid w:val="003E057A"/>
    <w:rsid w:val="003E35FA"/>
    <w:rsid w:val="003E4250"/>
    <w:rsid w:val="003E7454"/>
    <w:rsid w:val="003E7529"/>
    <w:rsid w:val="003F071B"/>
    <w:rsid w:val="003F0995"/>
    <w:rsid w:val="003F1141"/>
    <w:rsid w:val="003F1281"/>
    <w:rsid w:val="003F15D2"/>
    <w:rsid w:val="003F18B2"/>
    <w:rsid w:val="003F297C"/>
    <w:rsid w:val="003F3188"/>
    <w:rsid w:val="003F37DE"/>
    <w:rsid w:val="003F38E3"/>
    <w:rsid w:val="003F390E"/>
    <w:rsid w:val="003F473C"/>
    <w:rsid w:val="003F4B92"/>
    <w:rsid w:val="003F5743"/>
    <w:rsid w:val="003F64EB"/>
    <w:rsid w:val="003F67D4"/>
    <w:rsid w:val="003F7B04"/>
    <w:rsid w:val="0040057B"/>
    <w:rsid w:val="004012FA"/>
    <w:rsid w:val="004015AF"/>
    <w:rsid w:val="004020B2"/>
    <w:rsid w:val="00402893"/>
    <w:rsid w:val="00403120"/>
    <w:rsid w:val="00403857"/>
    <w:rsid w:val="004046DB"/>
    <w:rsid w:val="00405ACB"/>
    <w:rsid w:val="00407383"/>
    <w:rsid w:val="004075E9"/>
    <w:rsid w:val="0040771F"/>
    <w:rsid w:val="0041094E"/>
    <w:rsid w:val="00410B6D"/>
    <w:rsid w:val="00410D76"/>
    <w:rsid w:val="00411181"/>
    <w:rsid w:val="0041376C"/>
    <w:rsid w:val="004139CA"/>
    <w:rsid w:val="00414C3F"/>
    <w:rsid w:val="00414DF8"/>
    <w:rsid w:val="00416387"/>
    <w:rsid w:val="0041688E"/>
    <w:rsid w:val="00420D71"/>
    <w:rsid w:val="004215F8"/>
    <w:rsid w:val="00422325"/>
    <w:rsid w:val="00422CBE"/>
    <w:rsid w:val="0042309C"/>
    <w:rsid w:val="004236C5"/>
    <w:rsid w:val="00426792"/>
    <w:rsid w:val="00426E3B"/>
    <w:rsid w:val="00430350"/>
    <w:rsid w:val="0043071C"/>
    <w:rsid w:val="00430C53"/>
    <w:rsid w:val="00431A84"/>
    <w:rsid w:val="00431C46"/>
    <w:rsid w:val="00434796"/>
    <w:rsid w:val="00434E22"/>
    <w:rsid w:val="004359EB"/>
    <w:rsid w:val="00436026"/>
    <w:rsid w:val="004364B5"/>
    <w:rsid w:val="00436649"/>
    <w:rsid w:val="00436B7F"/>
    <w:rsid w:val="00437D3E"/>
    <w:rsid w:val="00440D72"/>
    <w:rsid w:val="0044143E"/>
    <w:rsid w:val="00442AC6"/>
    <w:rsid w:val="004456BB"/>
    <w:rsid w:val="004460BE"/>
    <w:rsid w:val="004462C4"/>
    <w:rsid w:val="004469AD"/>
    <w:rsid w:val="00446C00"/>
    <w:rsid w:val="00446DBE"/>
    <w:rsid w:val="0045032A"/>
    <w:rsid w:val="00452302"/>
    <w:rsid w:val="004525BE"/>
    <w:rsid w:val="00452965"/>
    <w:rsid w:val="00452983"/>
    <w:rsid w:val="00453124"/>
    <w:rsid w:val="00453195"/>
    <w:rsid w:val="00453E7F"/>
    <w:rsid w:val="00455B05"/>
    <w:rsid w:val="00457745"/>
    <w:rsid w:val="00457F2F"/>
    <w:rsid w:val="00457F69"/>
    <w:rsid w:val="00461373"/>
    <w:rsid w:val="0046178F"/>
    <w:rsid w:val="00466E64"/>
    <w:rsid w:val="00471628"/>
    <w:rsid w:val="00471B40"/>
    <w:rsid w:val="00472CD5"/>
    <w:rsid w:val="0047363D"/>
    <w:rsid w:val="0047378F"/>
    <w:rsid w:val="0047396C"/>
    <w:rsid w:val="00474AC1"/>
    <w:rsid w:val="0047502C"/>
    <w:rsid w:val="00475812"/>
    <w:rsid w:val="00475F41"/>
    <w:rsid w:val="0047650D"/>
    <w:rsid w:val="00476C29"/>
    <w:rsid w:val="0047793E"/>
    <w:rsid w:val="00477B25"/>
    <w:rsid w:val="00480573"/>
    <w:rsid w:val="00480924"/>
    <w:rsid w:val="00481BBF"/>
    <w:rsid w:val="00483101"/>
    <w:rsid w:val="0048520F"/>
    <w:rsid w:val="00485611"/>
    <w:rsid w:val="0048578A"/>
    <w:rsid w:val="00486B34"/>
    <w:rsid w:val="00486F09"/>
    <w:rsid w:val="004900D1"/>
    <w:rsid w:val="004904DC"/>
    <w:rsid w:val="004905D8"/>
    <w:rsid w:val="00490652"/>
    <w:rsid w:val="004913FA"/>
    <w:rsid w:val="004926C0"/>
    <w:rsid w:val="00493330"/>
    <w:rsid w:val="00493ABC"/>
    <w:rsid w:val="00493BA2"/>
    <w:rsid w:val="00494449"/>
    <w:rsid w:val="00495E8F"/>
    <w:rsid w:val="00496E72"/>
    <w:rsid w:val="00497581"/>
    <w:rsid w:val="004A1825"/>
    <w:rsid w:val="004A1BDB"/>
    <w:rsid w:val="004A3065"/>
    <w:rsid w:val="004A39E1"/>
    <w:rsid w:val="004A5737"/>
    <w:rsid w:val="004A6725"/>
    <w:rsid w:val="004A765F"/>
    <w:rsid w:val="004A7A90"/>
    <w:rsid w:val="004A7F29"/>
    <w:rsid w:val="004B0757"/>
    <w:rsid w:val="004B179C"/>
    <w:rsid w:val="004B3381"/>
    <w:rsid w:val="004B4665"/>
    <w:rsid w:val="004B4A6B"/>
    <w:rsid w:val="004B513D"/>
    <w:rsid w:val="004B7059"/>
    <w:rsid w:val="004B73BE"/>
    <w:rsid w:val="004B74CD"/>
    <w:rsid w:val="004B7738"/>
    <w:rsid w:val="004B7799"/>
    <w:rsid w:val="004B78FE"/>
    <w:rsid w:val="004C03CC"/>
    <w:rsid w:val="004C1217"/>
    <w:rsid w:val="004C19D2"/>
    <w:rsid w:val="004C3183"/>
    <w:rsid w:val="004C361D"/>
    <w:rsid w:val="004C4066"/>
    <w:rsid w:val="004C4E13"/>
    <w:rsid w:val="004D0A98"/>
    <w:rsid w:val="004D17EF"/>
    <w:rsid w:val="004D1A27"/>
    <w:rsid w:val="004D3CF1"/>
    <w:rsid w:val="004D72A4"/>
    <w:rsid w:val="004D7DEC"/>
    <w:rsid w:val="004E0AA5"/>
    <w:rsid w:val="004E11FD"/>
    <w:rsid w:val="004E12C4"/>
    <w:rsid w:val="004E19D9"/>
    <w:rsid w:val="004E373C"/>
    <w:rsid w:val="004E517E"/>
    <w:rsid w:val="004E6515"/>
    <w:rsid w:val="004E7AB7"/>
    <w:rsid w:val="004E7BA7"/>
    <w:rsid w:val="004F1388"/>
    <w:rsid w:val="004F1D87"/>
    <w:rsid w:val="004F3778"/>
    <w:rsid w:val="004F4694"/>
    <w:rsid w:val="004F52BE"/>
    <w:rsid w:val="004F5638"/>
    <w:rsid w:val="004F5C87"/>
    <w:rsid w:val="004F5D1B"/>
    <w:rsid w:val="004F75A2"/>
    <w:rsid w:val="004F7C00"/>
    <w:rsid w:val="00500B33"/>
    <w:rsid w:val="00501B77"/>
    <w:rsid w:val="00502A22"/>
    <w:rsid w:val="005042AC"/>
    <w:rsid w:val="005069F8"/>
    <w:rsid w:val="00507B14"/>
    <w:rsid w:val="00507B7B"/>
    <w:rsid w:val="00511D4C"/>
    <w:rsid w:val="00514888"/>
    <w:rsid w:val="00515036"/>
    <w:rsid w:val="00516AE5"/>
    <w:rsid w:val="00517662"/>
    <w:rsid w:val="005178AA"/>
    <w:rsid w:val="005209B5"/>
    <w:rsid w:val="00521F01"/>
    <w:rsid w:val="00522A24"/>
    <w:rsid w:val="005238EF"/>
    <w:rsid w:val="00523EE5"/>
    <w:rsid w:val="0052401D"/>
    <w:rsid w:val="0052432E"/>
    <w:rsid w:val="00524331"/>
    <w:rsid w:val="00524BC5"/>
    <w:rsid w:val="00525B93"/>
    <w:rsid w:val="00525EA1"/>
    <w:rsid w:val="00526CC3"/>
    <w:rsid w:val="00526E68"/>
    <w:rsid w:val="00527EA0"/>
    <w:rsid w:val="0053078A"/>
    <w:rsid w:val="00530ECB"/>
    <w:rsid w:val="00531D97"/>
    <w:rsid w:val="00532066"/>
    <w:rsid w:val="00533D9D"/>
    <w:rsid w:val="00534531"/>
    <w:rsid w:val="00534C11"/>
    <w:rsid w:val="0053594C"/>
    <w:rsid w:val="0053785B"/>
    <w:rsid w:val="0054006D"/>
    <w:rsid w:val="00540EEC"/>
    <w:rsid w:val="00541EFF"/>
    <w:rsid w:val="00542DC9"/>
    <w:rsid w:val="005431DF"/>
    <w:rsid w:val="00544C12"/>
    <w:rsid w:val="00545046"/>
    <w:rsid w:val="00546169"/>
    <w:rsid w:val="005508FA"/>
    <w:rsid w:val="005527A1"/>
    <w:rsid w:val="005528C0"/>
    <w:rsid w:val="00553D80"/>
    <w:rsid w:val="00554329"/>
    <w:rsid w:val="005548AE"/>
    <w:rsid w:val="0055644A"/>
    <w:rsid w:val="00557261"/>
    <w:rsid w:val="00557C5D"/>
    <w:rsid w:val="00557F55"/>
    <w:rsid w:val="0056068F"/>
    <w:rsid w:val="00562278"/>
    <w:rsid w:val="00566C6D"/>
    <w:rsid w:val="00567C24"/>
    <w:rsid w:val="005709AC"/>
    <w:rsid w:val="00575156"/>
    <w:rsid w:val="00575234"/>
    <w:rsid w:val="00575D79"/>
    <w:rsid w:val="00575EC0"/>
    <w:rsid w:val="00576731"/>
    <w:rsid w:val="005813F6"/>
    <w:rsid w:val="005826B6"/>
    <w:rsid w:val="0058326D"/>
    <w:rsid w:val="00584719"/>
    <w:rsid w:val="00586F88"/>
    <w:rsid w:val="00587B22"/>
    <w:rsid w:val="00587B74"/>
    <w:rsid w:val="00592E4A"/>
    <w:rsid w:val="005944B9"/>
    <w:rsid w:val="0059671A"/>
    <w:rsid w:val="00597814"/>
    <w:rsid w:val="005A05FA"/>
    <w:rsid w:val="005A228D"/>
    <w:rsid w:val="005A2B83"/>
    <w:rsid w:val="005A3459"/>
    <w:rsid w:val="005A6D3C"/>
    <w:rsid w:val="005A7010"/>
    <w:rsid w:val="005A7060"/>
    <w:rsid w:val="005A7BC0"/>
    <w:rsid w:val="005B0A0E"/>
    <w:rsid w:val="005B0C51"/>
    <w:rsid w:val="005B1F03"/>
    <w:rsid w:val="005B233D"/>
    <w:rsid w:val="005B267D"/>
    <w:rsid w:val="005B29A2"/>
    <w:rsid w:val="005B328B"/>
    <w:rsid w:val="005B5A96"/>
    <w:rsid w:val="005B758F"/>
    <w:rsid w:val="005C01C1"/>
    <w:rsid w:val="005C022E"/>
    <w:rsid w:val="005C0358"/>
    <w:rsid w:val="005C162D"/>
    <w:rsid w:val="005C16D3"/>
    <w:rsid w:val="005C1D43"/>
    <w:rsid w:val="005C20DE"/>
    <w:rsid w:val="005C5B45"/>
    <w:rsid w:val="005C65A0"/>
    <w:rsid w:val="005C7ED2"/>
    <w:rsid w:val="005D0640"/>
    <w:rsid w:val="005D07C3"/>
    <w:rsid w:val="005D0A67"/>
    <w:rsid w:val="005D26E8"/>
    <w:rsid w:val="005D632D"/>
    <w:rsid w:val="005E232B"/>
    <w:rsid w:val="005E234E"/>
    <w:rsid w:val="005E24EB"/>
    <w:rsid w:val="005E29FA"/>
    <w:rsid w:val="005E4F24"/>
    <w:rsid w:val="005E5ECE"/>
    <w:rsid w:val="005E6209"/>
    <w:rsid w:val="005F0F1A"/>
    <w:rsid w:val="005F20C0"/>
    <w:rsid w:val="005F293E"/>
    <w:rsid w:val="005F58FC"/>
    <w:rsid w:val="005F6554"/>
    <w:rsid w:val="005F689D"/>
    <w:rsid w:val="005F7068"/>
    <w:rsid w:val="0060093C"/>
    <w:rsid w:val="006019FB"/>
    <w:rsid w:val="00603631"/>
    <w:rsid w:val="00604296"/>
    <w:rsid w:val="00604572"/>
    <w:rsid w:val="006066F9"/>
    <w:rsid w:val="006107B1"/>
    <w:rsid w:val="00610971"/>
    <w:rsid w:val="006109EF"/>
    <w:rsid w:val="006110D2"/>
    <w:rsid w:val="00613825"/>
    <w:rsid w:val="00615A69"/>
    <w:rsid w:val="00615D87"/>
    <w:rsid w:val="0061727A"/>
    <w:rsid w:val="006178B5"/>
    <w:rsid w:val="00617C09"/>
    <w:rsid w:val="00620E7B"/>
    <w:rsid w:val="00622EA4"/>
    <w:rsid w:val="0062359A"/>
    <w:rsid w:val="00624BA8"/>
    <w:rsid w:val="00624DFC"/>
    <w:rsid w:val="006268D7"/>
    <w:rsid w:val="00631074"/>
    <w:rsid w:val="00632167"/>
    <w:rsid w:val="0063311B"/>
    <w:rsid w:val="00634BB0"/>
    <w:rsid w:val="00635846"/>
    <w:rsid w:val="00637B24"/>
    <w:rsid w:val="00637D71"/>
    <w:rsid w:val="0064330C"/>
    <w:rsid w:val="0064408E"/>
    <w:rsid w:val="0064637F"/>
    <w:rsid w:val="0064787F"/>
    <w:rsid w:val="00651643"/>
    <w:rsid w:val="006521AF"/>
    <w:rsid w:val="00652458"/>
    <w:rsid w:val="00653298"/>
    <w:rsid w:val="00653FE9"/>
    <w:rsid w:val="00654274"/>
    <w:rsid w:val="006553BE"/>
    <w:rsid w:val="00655C16"/>
    <w:rsid w:val="00656478"/>
    <w:rsid w:val="00656D72"/>
    <w:rsid w:val="00657419"/>
    <w:rsid w:val="00657E28"/>
    <w:rsid w:val="00661692"/>
    <w:rsid w:val="00661C27"/>
    <w:rsid w:val="00665961"/>
    <w:rsid w:val="00665CF2"/>
    <w:rsid w:val="00672397"/>
    <w:rsid w:val="0067282B"/>
    <w:rsid w:val="00673E9B"/>
    <w:rsid w:val="00674B01"/>
    <w:rsid w:val="00675A34"/>
    <w:rsid w:val="0067609B"/>
    <w:rsid w:val="00676C62"/>
    <w:rsid w:val="0067770E"/>
    <w:rsid w:val="00677E98"/>
    <w:rsid w:val="00680641"/>
    <w:rsid w:val="00682896"/>
    <w:rsid w:val="006875D5"/>
    <w:rsid w:val="006878E5"/>
    <w:rsid w:val="0069076A"/>
    <w:rsid w:val="00691E0C"/>
    <w:rsid w:val="006922A4"/>
    <w:rsid w:val="006927B8"/>
    <w:rsid w:val="006930DA"/>
    <w:rsid w:val="0069361E"/>
    <w:rsid w:val="006939A6"/>
    <w:rsid w:val="00695D29"/>
    <w:rsid w:val="00695EA9"/>
    <w:rsid w:val="00696168"/>
    <w:rsid w:val="006970E1"/>
    <w:rsid w:val="00697C47"/>
    <w:rsid w:val="00697F9E"/>
    <w:rsid w:val="006A0018"/>
    <w:rsid w:val="006A336C"/>
    <w:rsid w:val="006A3CC3"/>
    <w:rsid w:val="006A3E03"/>
    <w:rsid w:val="006A46B0"/>
    <w:rsid w:val="006A6136"/>
    <w:rsid w:val="006A62DA"/>
    <w:rsid w:val="006A6D1F"/>
    <w:rsid w:val="006A76C1"/>
    <w:rsid w:val="006B13C3"/>
    <w:rsid w:val="006B2097"/>
    <w:rsid w:val="006B3DBA"/>
    <w:rsid w:val="006B3FCE"/>
    <w:rsid w:val="006B45A8"/>
    <w:rsid w:val="006B6538"/>
    <w:rsid w:val="006B7404"/>
    <w:rsid w:val="006B7E80"/>
    <w:rsid w:val="006B7F55"/>
    <w:rsid w:val="006C2733"/>
    <w:rsid w:val="006C4FAC"/>
    <w:rsid w:val="006C5913"/>
    <w:rsid w:val="006C6FAB"/>
    <w:rsid w:val="006D0A75"/>
    <w:rsid w:val="006D1317"/>
    <w:rsid w:val="006D1718"/>
    <w:rsid w:val="006D1E58"/>
    <w:rsid w:val="006D26D0"/>
    <w:rsid w:val="006D436C"/>
    <w:rsid w:val="006D5308"/>
    <w:rsid w:val="006D6751"/>
    <w:rsid w:val="006D6D04"/>
    <w:rsid w:val="006D6DC0"/>
    <w:rsid w:val="006D6E8F"/>
    <w:rsid w:val="006D741C"/>
    <w:rsid w:val="006E24AF"/>
    <w:rsid w:val="006E5CE7"/>
    <w:rsid w:val="006E7E2C"/>
    <w:rsid w:val="006F0506"/>
    <w:rsid w:val="006F072A"/>
    <w:rsid w:val="006F1038"/>
    <w:rsid w:val="006F22D3"/>
    <w:rsid w:val="006F272E"/>
    <w:rsid w:val="006F31D6"/>
    <w:rsid w:val="006F3F7B"/>
    <w:rsid w:val="006F40DF"/>
    <w:rsid w:val="006F545E"/>
    <w:rsid w:val="006F5492"/>
    <w:rsid w:val="006F5CF4"/>
    <w:rsid w:val="006F67EA"/>
    <w:rsid w:val="006F6D8D"/>
    <w:rsid w:val="006F7C23"/>
    <w:rsid w:val="00700109"/>
    <w:rsid w:val="00701254"/>
    <w:rsid w:val="00701B10"/>
    <w:rsid w:val="00702B25"/>
    <w:rsid w:val="007038C0"/>
    <w:rsid w:val="00703D2C"/>
    <w:rsid w:val="007048FB"/>
    <w:rsid w:val="0070667D"/>
    <w:rsid w:val="00706CEB"/>
    <w:rsid w:val="0070707C"/>
    <w:rsid w:val="00707099"/>
    <w:rsid w:val="0070729B"/>
    <w:rsid w:val="00707A7A"/>
    <w:rsid w:val="00707B3A"/>
    <w:rsid w:val="00710EF7"/>
    <w:rsid w:val="00711A4E"/>
    <w:rsid w:val="00711B8D"/>
    <w:rsid w:val="00712508"/>
    <w:rsid w:val="007137A1"/>
    <w:rsid w:val="00713D62"/>
    <w:rsid w:val="0071595A"/>
    <w:rsid w:val="007177C4"/>
    <w:rsid w:val="00717FEB"/>
    <w:rsid w:val="0072056C"/>
    <w:rsid w:val="00720A29"/>
    <w:rsid w:val="00721BF6"/>
    <w:rsid w:val="00722173"/>
    <w:rsid w:val="00722761"/>
    <w:rsid w:val="00722D43"/>
    <w:rsid w:val="0072453D"/>
    <w:rsid w:val="007247CC"/>
    <w:rsid w:val="00724C1E"/>
    <w:rsid w:val="00724C93"/>
    <w:rsid w:val="00724EB9"/>
    <w:rsid w:val="00725D1F"/>
    <w:rsid w:val="007262A8"/>
    <w:rsid w:val="00726E30"/>
    <w:rsid w:val="00726ECC"/>
    <w:rsid w:val="007271D9"/>
    <w:rsid w:val="0073036D"/>
    <w:rsid w:val="00731407"/>
    <w:rsid w:val="00732628"/>
    <w:rsid w:val="0073316A"/>
    <w:rsid w:val="00733B62"/>
    <w:rsid w:val="007349F8"/>
    <w:rsid w:val="00734B9C"/>
    <w:rsid w:val="0073567B"/>
    <w:rsid w:val="00735D08"/>
    <w:rsid w:val="00736115"/>
    <w:rsid w:val="007374F9"/>
    <w:rsid w:val="00737692"/>
    <w:rsid w:val="00737BC4"/>
    <w:rsid w:val="00740387"/>
    <w:rsid w:val="007403CA"/>
    <w:rsid w:val="00740793"/>
    <w:rsid w:val="007438D9"/>
    <w:rsid w:val="00743CBD"/>
    <w:rsid w:val="00744871"/>
    <w:rsid w:val="00744AC4"/>
    <w:rsid w:val="00744FD6"/>
    <w:rsid w:val="00745059"/>
    <w:rsid w:val="007456BB"/>
    <w:rsid w:val="00745732"/>
    <w:rsid w:val="00745FB9"/>
    <w:rsid w:val="007469FA"/>
    <w:rsid w:val="00746AB3"/>
    <w:rsid w:val="00750262"/>
    <w:rsid w:val="00750BDD"/>
    <w:rsid w:val="00751DDA"/>
    <w:rsid w:val="007520FC"/>
    <w:rsid w:val="00752D37"/>
    <w:rsid w:val="007543D6"/>
    <w:rsid w:val="00755747"/>
    <w:rsid w:val="00755B1B"/>
    <w:rsid w:val="0075602B"/>
    <w:rsid w:val="007565DA"/>
    <w:rsid w:val="00757174"/>
    <w:rsid w:val="007573DC"/>
    <w:rsid w:val="00757B7E"/>
    <w:rsid w:val="00757FD3"/>
    <w:rsid w:val="0076018E"/>
    <w:rsid w:val="00761DD6"/>
    <w:rsid w:val="00761EBF"/>
    <w:rsid w:val="00764447"/>
    <w:rsid w:val="00765846"/>
    <w:rsid w:val="00765A65"/>
    <w:rsid w:val="00765F60"/>
    <w:rsid w:val="00767E19"/>
    <w:rsid w:val="00770C93"/>
    <w:rsid w:val="00772107"/>
    <w:rsid w:val="00772258"/>
    <w:rsid w:val="00772788"/>
    <w:rsid w:val="00772AAC"/>
    <w:rsid w:val="00773FF6"/>
    <w:rsid w:val="007742D7"/>
    <w:rsid w:val="007744D3"/>
    <w:rsid w:val="007748E6"/>
    <w:rsid w:val="00774EF3"/>
    <w:rsid w:val="007759CA"/>
    <w:rsid w:val="00777715"/>
    <w:rsid w:val="00780ECE"/>
    <w:rsid w:val="00783383"/>
    <w:rsid w:val="0078392A"/>
    <w:rsid w:val="00784532"/>
    <w:rsid w:val="00786249"/>
    <w:rsid w:val="0078680B"/>
    <w:rsid w:val="00786E53"/>
    <w:rsid w:val="007907FC"/>
    <w:rsid w:val="00790A42"/>
    <w:rsid w:val="0079137A"/>
    <w:rsid w:val="007931C3"/>
    <w:rsid w:val="00794616"/>
    <w:rsid w:val="00795116"/>
    <w:rsid w:val="007A2542"/>
    <w:rsid w:val="007A2A55"/>
    <w:rsid w:val="007A2F80"/>
    <w:rsid w:val="007A3837"/>
    <w:rsid w:val="007A3D70"/>
    <w:rsid w:val="007A5DFF"/>
    <w:rsid w:val="007A5E0B"/>
    <w:rsid w:val="007A6BE7"/>
    <w:rsid w:val="007A6CDE"/>
    <w:rsid w:val="007A7AFF"/>
    <w:rsid w:val="007A7D75"/>
    <w:rsid w:val="007B16D6"/>
    <w:rsid w:val="007B1E4E"/>
    <w:rsid w:val="007B288A"/>
    <w:rsid w:val="007B3680"/>
    <w:rsid w:val="007B36F0"/>
    <w:rsid w:val="007B3C66"/>
    <w:rsid w:val="007B4766"/>
    <w:rsid w:val="007B4D1A"/>
    <w:rsid w:val="007B5177"/>
    <w:rsid w:val="007B5405"/>
    <w:rsid w:val="007B57DD"/>
    <w:rsid w:val="007C00A6"/>
    <w:rsid w:val="007C0F1B"/>
    <w:rsid w:val="007C170C"/>
    <w:rsid w:val="007C1A13"/>
    <w:rsid w:val="007C25F0"/>
    <w:rsid w:val="007C2890"/>
    <w:rsid w:val="007C2B85"/>
    <w:rsid w:val="007C2D4F"/>
    <w:rsid w:val="007C2FEB"/>
    <w:rsid w:val="007C415D"/>
    <w:rsid w:val="007C4294"/>
    <w:rsid w:val="007C42B2"/>
    <w:rsid w:val="007C5042"/>
    <w:rsid w:val="007C6135"/>
    <w:rsid w:val="007C6306"/>
    <w:rsid w:val="007C664A"/>
    <w:rsid w:val="007C6930"/>
    <w:rsid w:val="007C69BB"/>
    <w:rsid w:val="007C73BE"/>
    <w:rsid w:val="007C7A72"/>
    <w:rsid w:val="007D045A"/>
    <w:rsid w:val="007D116F"/>
    <w:rsid w:val="007D152F"/>
    <w:rsid w:val="007D2A8C"/>
    <w:rsid w:val="007D2AAC"/>
    <w:rsid w:val="007D418D"/>
    <w:rsid w:val="007D49DC"/>
    <w:rsid w:val="007D630E"/>
    <w:rsid w:val="007E0E60"/>
    <w:rsid w:val="007E1648"/>
    <w:rsid w:val="007E18D3"/>
    <w:rsid w:val="007E1BB7"/>
    <w:rsid w:val="007E1DE7"/>
    <w:rsid w:val="007E2113"/>
    <w:rsid w:val="007E2577"/>
    <w:rsid w:val="007E2C7D"/>
    <w:rsid w:val="007E2F8F"/>
    <w:rsid w:val="007E3050"/>
    <w:rsid w:val="007E3C51"/>
    <w:rsid w:val="007E4558"/>
    <w:rsid w:val="007E45F8"/>
    <w:rsid w:val="007E4DAA"/>
    <w:rsid w:val="007E5EF7"/>
    <w:rsid w:val="007F0069"/>
    <w:rsid w:val="007F0799"/>
    <w:rsid w:val="007F10CD"/>
    <w:rsid w:val="007F1DFC"/>
    <w:rsid w:val="007F2039"/>
    <w:rsid w:val="007F581C"/>
    <w:rsid w:val="007F6753"/>
    <w:rsid w:val="007F714C"/>
    <w:rsid w:val="007F76C9"/>
    <w:rsid w:val="0080043C"/>
    <w:rsid w:val="00801D7A"/>
    <w:rsid w:val="00801E59"/>
    <w:rsid w:val="00802B3A"/>
    <w:rsid w:val="00803364"/>
    <w:rsid w:val="00803C39"/>
    <w:rsid w:val="00805965"/>
    <w:rsid w:val="00811CF0"/>
    <w:rsid w:val="00814E96"/>
    <w:rsid w:val="00814F22"/>
    <w:rsid w:val="00815090"/>
    <w:rsid w:val="00815492"/>
    <w:rsid w:val="008172DE"/>
    <w:rsid w:val="008208B4"/>
    <w:rsid w:val="00820AFE"/>
    <w:rsid w:val="00822F4B"/>
    <w:rsid w:val="00825171"/>
    <w:rsid w:val="008255D2"/>
    <w:rsid w:val="0082573C"/>
    <w:rsid w:val="00826981"/>
    <w:rsid w:val="008274C7"/>
    <w:rsid w:val="00830587"/>
    <w:rsid w:val="008311FC"/>
    <w:rsid w:val="00832AD9"/>
    <w:rsid w:val="00833400"/>
    <w:rsid w:val="0083561B"/>
    <w:rsid w:val="00837326"/>
    <w:rsid w:val="0084407B"/>
    <w:rsid w:val="00844336"/>
    <w:rsid w:val="00847C5B"/>
    <w:rsid w:val="008506B7"/>
    <w:rsid w:val="00850F30"/>
    <w:rsid w:val="00852198"/>
    <w:rsid w:val="008525FD"/>
    <w:rsid w:val="00852621"/>
    <w:rsid w:val="00852CC9"/>
    <w:rsid w:val="008560D6"/>
    <w:rsid w:val="00856C8B"/>
    <w:rsid w:val="00857850"/>
    <w:rsid w:val="00857BFA"/>
    <w:rsid w:val="0086079D"/>
    <w:rsid w:val="008625ED"/>
    <w:rsid w:val="00863C10"/>
    <w:rsid w:val="00864DE4"/>
    <w:rsid w:val="00866EC3"/>
    <w:rsid w:val="0087044C"/>
    <w:rsid w:val="00870D00"/>
    <w:rsid w:val="0087136C"/>
    <w:rsid w:val="00872132"/>
    <w:rsid w:val="00872DE8"/>
    <w:rsid w:val="00873C45"/>
    <w:rsid w:val="00874CE6"/>
    <w:rsid w:val="008766FD"/>
    <w:rsid w:val="00877D11"/>
    <w:rsid w:val="00881809"/>
    <w:rsid w:val="0088241C"/>
    <w:rsid w:val="00882B7F"/>
    <w:rsid w:val="00882C7E"/>
    <w:rsid w:val="00883476"/>
    <w:rsid w:val="00884389"/>
    <w:rsid w:val="008844F0"/>
    <w:rsid w:val="00885F0D"/>
    <w:rsid w:val="00887CC6"/>
    <w:rsid w:val="00891460"/>
    <w:rsid w:val="008928AB"/>
    <w:rsid w:val="0089301F"/>
    <w:rsid w:val="00893238"/>
    <w:rsid w:val="008938AE"/>
    <w:rsid w:val="00893B05"/>
    <w:rsid w:val="00893B66"/>
    <w:rsid w:val="00895256"/>
    <w:rsid w:val="00896B00"/>
    <w:rsid w:val="008976B5"/>
    <w:rsid w:val="00897C8E"/>
    <w:rsid w:val="00897DC0"/>
    <w:rsid w:val="008A2F31"/>
    <w:rsid w:val="008A3105"/>
    <w:rsid w:val="008A369B"/>
    <w:rsid w:val="008A3D09"/>
    <w:rsid w:val="008A75A2"/>
    <w:rsid w:val="008B14AB"/>
    <w:rsid w:val="008B238D"/>
    <w:rsid w:val="008B2427"/>
    <w:rsid w:val="008B263E"/>
    <w:rsid w:val="008B2836"/>
    <w:rsid w:val="008B2FFE"/>
    <w:rsid w:val="008B3484"/>
    <w:rsid w:val="008B35DE"/>
    <w:rsid w:val="008B3C60"/>
    <w:rsid w:val="008B3F6F"/>
    <w:rsid w:val="008B47F4"/>
    <w:rsid w:val="008B4B2E"/>
    <w:rsid w:val="008B5A45"/>
    <w:rsid w:val="008B61C0"/>
    <w:rsid w:val="008B7CEF"/>
    <w:rsid w:val="008C3306"/>
    <w:rsid w:val="008D0D58"/>
    <w:rsid w:val="008D111F"/>
    <w:rsid w:val="008D565A"/>
    <w:rsid w:val="008D5713"/>
    <w:rsid w:val="008D5724"/>
    <w:rsid w:val="008D5C26"/>
    <w:rsid w:val="008D64B8"/>
    <w:rsid w:val="008D70DB"/>
    <w:rsid w:val="008D733F"/>
    <w:rsid w:val="008E02CE"/>
    <w:rsid w:val="008E041E"/>
    <w:rsid w:val="008E3D79"/>
    <w:rsid w:val="008E56CD"/>
    <w:rsid w:val="008E6749"/>
    <w:rsid w:val="008E6E7A"/>
    <w:rsid w:val="008E7E57"/>
    <w:rsid w:val="008F013B"/>
    <w:rsid w:val="008F3BBE"/>
    <w:rsid w:val="008F484E"/>
    <w:rsid w:val="008F5A5C"/>
    <w:rsid w:val="008F5B6F"/>
    <w:rsid w:val="008F68ED"/>
    <w:rsid w:val="008F769E"/>
    <w:rsid w:val="008F7E01"/>
    <w:rsid w:val="00902416"/>
    <w:rsid w:val="00903FEE"/>
    <w:rsid w:val="00904E08"/>
    <w:rsid w:val="00907EF3"/>
    <w:rsid w:val="0091087F"/>
    <w:rsid w:val="0091092A"/>
    <w:rsid w:val="0091199B"/>
    <w:rsid w:val="009126D4"/>
    <w:rsid w:val="00912BFA"/>
    <w:rsid w:val="0091374B"/>
    <w:rsid w:val="00913832"/>
    <w:rsid w:val="00913DB6"/>
    <w:rsid w:val="00914188"/>
    <w:rsid w:val="0091484E"/>
    <w:rsid w:val="009156CE"/>
    <w:rsid w:val="00916013"/>
    <w:rsid w:val="00916F46"/>
    <w:rsid w:val="00917704"/>
    <w:rsid w:val="00920832"/>
    <w:rsid w:val="009208AC"/>
    <w:rsid w:val="00921BBD"/>
    <w:rsid w:val="009225DB"/>
    <w:rsid w:val="0092260B"/>
    <w:rsid w:val="009231C3"/>
    <w:rsid w:val="00923368"/>
    <w:rsid w:val="009237E6"/>
    <w:rsid w:val="00925F52"/>
    <w:rsid w:val="009265E9"/>
    <w:rsid w:val="00926667"/>
    <w:rsid w:val="00927332"/>
    <w:rsid w:val="009304F1"/>
    <w:rsid w:val="0093159A"/>
    <w:rsid w:val="00931B89"/>
    <w:rsid w:val="00933CA2"/>
    <w:rsid w:val="00935514"/>
    <w:rsid w:val="00935DBB"/>
    <w:rsid w:val="00936480"/>
    <w:rsid w:val="00936802"/>
    <w:rsid w:val="00942C4D"/>
    <w:rsid w:val="00943AC2"/>
    <w:rsid w:val="00944674"/>
    <w:rsid w:val="009468AD"/>
    <w:rsid w:val="00947A68"/>
    <w:rsid w:val="009522D3"/>
    <w:rsid w:val="0095323C"/>
    <w:rsid w:val="00953AF9"/>
    <w:rsid w:val="00954267"/>
    <w:rsid w:val="009551AC"/>
    <w:rsid w:val="0095586B"/>
    <w:rsid w:val="009571EC"/>
    <w:rsid w:val="00960BBC"/>
    <w:rsid w:val="009610BC"/>
    <w:rsid w:val="00961902"/>
    <w:rsid w:val="00963D0A"/>
    <w:rsid w:val="00963E57"/>
    <w:rsid w:val="0096543B"/>
    <w:rsid w:val="00965C2D"/>
    <w:rsid w:val="009661D0"/>
    <w:rsid w:val="0096626C"/>
    <w:rsid w:val="0096631F"/>
    <w:rsid w:val="009669C8"/>
    <w:rsid w:val="00966AB3"/>
    <w:rsid w:val="00967076"/>
    <w:rsid w:val="00967427"/>
    <w:rsid w:val="00967697"/>
    <w:rsid w:val="00971CE1"/>
    <w:rsid w:val="00972251"/>
    <w:rsid w:val="00973157"/>
    <w:rsid w:val="00973664"/>
    <w:rsid w:val="0097416D"/>
    <w:rsid w:val="00974571"/>
    <w:rsid w:val="009752D8"/>
    <w:rsid w:val="00975B38"/>
    <w:rsid w:val="00975BBA"/>
    <w:rsid w:val="00976F0D"/>
    <w:rsid w:val="009776AC"/>
    <w:rsid w:val="009803A0"/>
    <w:rsid w:val="009815F5"/>
    <w:rsid w:val="00983344"/>
    <w:rsid w:val="0098348E"/>
    <w:rsid w:val="0098518D"/>
    <w:rsid w:val="0098557A"/>
    <w:rsid w:val="00986422"/>
    <w:rsid w:val="0098652F"/>
    <w:rsid w:val="009866E9"/>
    <w:rsid w:val="009879C6"/>
    <w:rsid w:val="00991223"/>
    <w:rsid w:val="009912EA"/>
    <w:rsid w:val="009928F2"/>
    <w:rsid w:val="0099345E"/>
    <w:rsid w:val="00994037"/>
    <w:rsid w:val="00994F25"/>
    <w:rsid w:val="0099512E"/>
    <w:rsid w:val="00995F3D"/>
    <w:rsid w:val="00996C84"/>
    <w:rsid w:val="009970EF"/>
    <w:rsid w:val="009A0176"/>
    <w:rsid w:val="009A166F"/>
    <w:rsid w:val="009A25D5"/>
    <w:rsid w:val="009A268D"/>
    <w:rsid w:val="009A5DE5"/>
    <w:rsid w:val="009A677A"/>
    <w:rsid w:val="009A6828"/>
    <w:rsid w:val="009A6A54"/>
    <w:rsid w:val="009A7638"/>
    <w:rsid w:val="009B0B3B"/>
    <w:rsid w:val="009B0CC0"/>
    <w:rsid w:val="009B22C1"/>
    <w:rsid w:val="009B2B77"/>
    <w:rsid w:val="009B3F89"/>
    <w:rsid w:val="009C0171"/>
    <w:rsid w:val="009C044E"/>
    <w:rsid w:val="009C0DFA"/>
    <w:rsid w:val="009C37C4"/>
    <w:rsid w:val="009C3802"/>
    <w:rsid w:val="009C3994"/>
    <w:rsid w:val="009C5637"/>
    <w:rsid w:val="009C5A67"/>
    <w:rsid w:val="009C7864"/>
    <w:rsid w:val="009C7B77"/>
    <w:rsid w:val="009C7E40"/>
    <w:rsid w:val="009D07B1"/>
    <w:rsid w:val="009D3E9E"/>
    <w:rsid w:val="009D4287"/>
    <w:rsid w:val="009D5FE3"/>
    <w:rsid w:val="009D6053"/>
    <w:rsid w:val="009D661B"/>
    <w:rsid w:val="009D70F0"/>
    <w:rsid w:val="009D77CE"/>
    <w:rsid w:val="009D7B90"/>
    <w:rsid w:val="009E0CF3"/>
    <w:rsid w:val="009E0EB9"/>
    <w:rsid w:val="009E21BC"/>
    <w:rsid w:val="009E33EB"/>
    <w:rsid w:val="009E36F9"/>
    <w:rsid w:val="009E4AC3"/>
    <w:rsid w:val="009E4C34"/>
    <w:rsid w:val="009E4DF9"/>
    <w:rsid w:val="009E68D3"/>
    <w:rsid w:val="009E702E"/>
    <w:rsid w:val="009F01FA"/>
    <w:rsid w:val="009F1869"/>
    <w:rsid w:val="009F1F16"/>
    <w:rsid w:val="009F29F3"/>
    <w:rsid w:val="009F2A04"/>
    <w:rsid w:val="009F3FB1"/>
    <w:rsid w:val="009F463F"/>
    <w:rsid w:val="009F5469"/>
    <w:rsid w:val="009F5CD3"/>
    <w:rsid w:val="00A013F0"/>
    <w:rsid w:val="00A01599"/>
    <w:rsid w:val="00A0289E"/>
    <w:rsid w:val="00A03004"/>
    <w:rsid w:val="00A0443E"/>
    <w:rsid w:val="00A045B2"/>
    <w:rsid w:val="00A066AF"/>
    <w:rsid w:val="00A071BC"/>
    <w:rsid w:val="00A115AD"/>
    <w:rsid w:val="00A11F7C"/>
    <w:rsid w:val="00A11F93"/>
    <w:rsid w:val="00A1316C"/>
    <w:rsid w:val="00A131B6"/>
    <w:rsid w:val="00A1465B"/>
    <w:rsid w:val="00A14DCF"/>
    <w:rsid w:val="00A16009"/>
    <w:rsid w:val="00A1670E"/>
    <w:rsid w:val="00A1691B"/>
    <w:rsid w:val="00A2101D"/>
    <w:rsid w:val="00A21197"/>
    <w:rsid w:val="00A218FF"/>
    <w:rsid w:val="00A22232"/>
    <w:rsid w:val="00A22BB8"/>
    <w:rsid w:val="00A22C09"/>
    <w:rsid w:val="00A23045"/>
    <w:rsid w:val="00A23278"/>
    <w:rsid w:val="00A23DAF"/>
    <w:rsid w:val="00A24134"/>
    <w:rsid w:val="00A242EE"/>
    <w:rsid w:val="00A243A6"/>
    <w:rsid w:val="00A24DDA"/>
    <w:rsid w:val="00A26547"/>
    <w:rsid w:val="00A27786"/>
    <w:rsid w:val="00A30101"/>
    <w:rsid w:val="00A31317"/>
    <w:rsid w:val="00A31376"/>
    <w:rsid w:val="00A31885"/>
    <w:rsid w:val="00A3200F"/>
    <w:rsid w:val="00A3289A"/>
    <w:rsid w:val="00A33AF8"/>
    <w:rsid w:val="00A34CA2"/>
    <w:rsid w:val="00A37039"/>
    <w:rsid w:val="00A37D09"/>
    <w:rsid w:val="00A37EDC"/>
    <w:rsid w:val="00A40673"/>
    <w:rsid w:val="00A423F9"/>
    <w:rsid w:val="00A424C7"/>
    <w:rsid w:val="00A42563"/>
    <w:rsid w:val="00A45B2F"/>
    <w:rsid w:val="00A464F4"/>
    <w:rsid w:val="00A466ED"/>
    <w:rsid w:val="00A475A1"/>
    <w:rsid w:val="00A47756"/>
    <w:rsid w:val="00A5287B"/>
    <w:rsid w:val="00A52A6F"/>
    <w:rsid w:val="00A52F14"/>
    <w:rsid w:val="00A53718"/>
    <w:rsid w:val="00A546BA"/>
    <w:rsid w:val="00A554C1"/>
    <w:rsid w:val="00A57B07"/>
    <w:rsid w:val="00A60DD2"/>
    <w:rsid w:val="00A615A0"/>
    <w:rsid w:val="00A628D6"/>
    <w:rsid w:val="00A62C74"/>
    <w:rsid w:val="00A648CB"/>
    <w:rsid w:val="00A6541C"/>
    <w:rsid w:val="00A65478"/>
    <w:rsid w:val="00A664F8"/>
    <w:rsid w:val="00A66502"/>
    <w:rsid w:val="00A67236"/>
    <w:rsid w:val="00A70300"/>
    <w:rsid w:val="00A704E9"/>
    <w:rsid w:val="00A705AF"/>
    <w:rsid w:val="00A70C1A"/>
    <w:rsid w:val="00A71252"/>
    <w:rsid w:val="00A72104"/>
    <w:rsid w:val="00A73721"/>
    <w:rsid w:val="00A73820"/>
    <w:rsid w:val="00A73B1A"/>
    <w:rsid w:val="00A7675A"/>
    <w:rsid w:val="00A80A1A"/>
    <w:rsid w:val="00A80A39"/>
    <w:rsid w:val="00A81A7C"/>
    <w:rsid w:val="00A8241F"/>
    <w:rsid w:val="00A82923"/>
    <w:rsid w:val="00A8300F"/>
    <w:rsid w:val="00A84167"/>
    <w:rsid w:val="00A84936"/>
    <w:rsid w:val="00A8634D"/>
    <w:rsid w:val="00A928DC"/>
    <w:rsid w:val="00A92D0A"/>
    <w:rsid w:val="00A93BDB"/>
    <w:rsid w:val="00A93FF0"/>
    <w:rsid w:val="00A94D70"/>
    <w:rsid w:val="00A94EEA"/>
    <w:rsid w:val="00A95A55"/>
    <w:rsid w:val="00A95F0B"/>
    <w:rsid w:val="00A96A71"/>
    <w:rsid w:val="00A97D0F"/>
    <w:rsid w:val="00AA02B1"/>
    <w:rsid w:val="00AA031A"/>
    <w:rsid w:val="00AA0BC3"/>
    <w:rsid w:val="00AA0FC6"/>
    <w:rsid w:val="00AA2137"/>
    <w:rsid w:val="00AA4ED1"/>
    <w:rsid w:val="00AA50C2"/>
    <w:rsid w:val="00AA5174"/>
    <w:rsid w:val="00AA592D"/>
    <w:rsid w:val="00AA6426"/>
    <w:rsid w:val="00AA7210"/>
    <w:rsid w:val="00AB0802"/>
    <w:rsid w:val="00AB1E13"/>
    <w:rsid w:val="00AB2A89"/>
    <w:rsid w:val="00AB2B95"/>
    <w:rsid w:val="00AB2E98"/>
    <w:rsid w:val="00AB4272"/>
    <w:rsid w:val="00AB438D"/>
    <w:rsid w:val="00AB4427"/>
    <w:rsid w:val="00AB4928"/>
    <w:rsid w:val="00AB5B3A"/>
    <w:rsid w:val="00AB5CB5"/>
    <w:rsid w:val="00AB5E0D"/>
    <w:rsid w:val="00AB5FB0"/>
    <w:rsid w:val="00AC0138"/>
    <w:rsid w:val="00AC12EA"/>
    <w:rsid w:val="00AC164A"/>
    <w:rsid w:val="00AC3A59"/>
    <w:rsid w:val="00AC49AB"/>
    <w:rsid w:val="00AC5DAB"/>
    <w:rsid w:val="00AC6BE6"/>
    <w:rsid w:val="00AD188F"/>
    <w:rsid w:val="00AD5B07"/>
    <w:rsid w:val="00AD6780"/>
    <w:rsid w:val="00AD7361"/>
    <w:rsid w:val="00AD778A"/>
    <w:rsid w:val="00AE01A1"/>
    <w:rsid w:val="00AE136B"/>
    <w:rsid w:val="00AE30C2"/>
    <w:rsid w:val="00AE3402"/>
    <w:rsid w:val="00AE39B5"/>
    <w:rsid w:val="00AE48EF"/>
    <w:rsid w:val="00AE5C20"/>
    <w:rsid w:val="00AE76F2"/>
    <w:rsid w:val="00AF0565"/>
    <w:rsid w:val="00AF1273"/>
    <w:rsid w:val="00AF1A13"/>
    <w:rsid w:val="00AF2006"/>
    <w:rsid w:val="00AF2B2F"/>
    <w:rsid w:val="00AF2FF1"/>
    <w:rsid w:val="00AF371E"/>
    <w:rsid w:val="00AF3B07"/>
    <w:rsid w:val="00AF3E6C"/>
    <w:rsid w:val="00AF4F81"/>
    <w:rsid w:val="00AF5052"/>
    <w:rsid w:val="00AF753D"/>
    <w:rsid w:val="00B029D7"/>
    <w:rsid w:val="00B0392C"/>
    <w:rsid w:val="00B03A9B"/>
    <w:rsid w:val="00B03DA8"/>
    <w:rsid w:val="00B04BF1"/>
    <w:rsid w:val="00B04C8F"/>
    <w:rsid w:val="00B05FFF"/>
    <w:rsid w:val="00B073E7"/>
    <w:rsid w:val="00B10F7D"/>
    <w:rsid w:val="00B12550"/>
    <w:rsid w:val="00B12586"/>
    <w:rsid w:val="00B14C8A"/>
    <w:rsid w:val="00B1591F"/>
    <w:rsid w:val="00B15A46"/>
    <w:rsid w:val="00B177D3"/>
    <w:rsid w:val="00B17D5C"/>
    <w:rsid w:val="00B207CB"/>
    <w:rsid w:val="00B20ADE"/>
    <w:rsid w:val="00B2381D"/>
    <w:rsid w:val="00B25E59"/>
    <w:rsid w:val="00B26301"/>
    <w:rsid w:val="00B26587"/>
    <w:rsid w:val="00B274B0"/>
    <w:rsid w:val="00B32F1B"/>
    <w:rsid w:val="00B33BCF"/>
    <w:rsid w:val="00B3405B"/>
    <w:rsid w:val="00B3435A"/>
    <w:rsid w:val="00B36218"/>
    <w:rsid w:val="00B367C0"/>
    <w:rsid w:val="00B3687F"/>
    <w:rsid w:val="00B36B4C"/>
    <w:rsid w:val="00B403EF"/>
    <w:rsid w:val="00B449B8"/>
    <w:rsid w:val="00B46EE1"/>
    <w:rsid w:val="00B470DB"/>
    <w:rsid w:val="00B47F37"/>
    <w:rsid w:val="00B516DF"/>
    <w:rsid w:val="00B51F39"/>
    <w:rsid w:val="00B5320C"/>
    <w:rsid w:val="00B54D24"/>
    <w:rsid w:val="00B54E3B"/>
    <w:rsid w:val="00B552EA"/>
    <w:rsid w:val="00B61449"/>
    <w:rsid w:val="00B61800"/>
    <w:rsid w:val="00B63214"/>
    <w:rsid w:val="00B63CA6"/>
    <w:rsid w:val="00B63D2B"/>
    <w:rsid w:val="00B6504A"/>
    <w:rsid w:val="00B6565F"/>
    <w:rsid w:val="00B6572C"/>
    <w:rsid w:val="00B65D42"/>
    <w:rsid w:val="00B6645D"/>
    <w:rsid w:val="00B66478"/>
    <w:rsid w:val="00B668C8"/>
    <w:rsid w:val="00B671A9"/>
    <w:rsid w:val="00B67C28"/>
    <w:rsid w:val="00B7045E"/>
    <w:rsid w:val="00B706BC"/>
    <w:rsid w:val="00B71C10"/>
    <w:rsid w:val="00B71F7C"/>
    <w:rsid w:val="00B720B2"/>
    <w:rsid w:val="00B72475"/>
    <w:rsid w:val="00B730E7"/>
    <w:rsid w:val="00B741DD"/>
    <w:rsid w:val="00B7486C"/>
    <w:rsid w:val="00B76A93"/>
    <w:rsid w:val="00B77659"/>
    <w:rsid w:val="00B7786B"/>
    <w:rsid w:val="00B7798F"/>
    <w:rsid w:val="00B802DF"/>
    <w:rsid w:val="00B803AB"/>
    <w:rsid w:val="00B83870"/>
    <w:rsid w:val="00B83E85"/>
    <w:rsid w:val="00B846ED"/>
    <w:rsid w:val="00B84836"/>
    <w:rsid w:val="00B85099"/>
    <w:rsid w:val="00B9056B"/>
    <w:rsid w:val="00B90A2C"/>
    <w:rsid w:val="00B90E3F"/>
    <w:rsid w:val="00B91824"/>
    <w:rsid w:val="00B923A8"/>
    <w:rsid w:val="00B92A2C"/>
    <w:rsid w:val="00B9359E"/>
    <w:rsid w:val="00B93FF4"/>
    <w:rsid w:val="00B953BA"/>
    <w:rsid w:val="00B966C5"/>
    <w:rsid w:val="00B96F09"/>
    <w:rsid w:val="00B9764D"/>
    <w:rsid w:val="00BA0640"/>
    <w:rsid w:val="00BA08BD"/>
    <w:rsid w:val="00BA1170"/>
    <w:rsid w:val="00BA11C6"/>
    <w:rsid w:val="00BA1998"/>
    <w:rsid w:val="00BA1E11"/>
    <w:rsid w:val="00BA2892"/>
    <w:rsid w:val="00BA3E11"/>
    <w:rsid w:val="00BA4311"/>
    <w:rsid w:val="00BA4631"/>
    <w:rsid w:val="00BA5F6B"/>
    <w:rsid w:val="00BA63D9"/>
    <w:rsid w:val="00BA64F4"/>
    <w:rsid w:val="00BB0B5E"/>
    <w:rsid w:val="00BB11E0"/>
    <w:rsid w:val="00BB16B0"/>
    <w:rsid w:val="00BB27D1"/>
    <w:rsid w:val="00BB2F8D"/>
    <w:rsid w:val="00BB3C12"/>
    <w:rsid w:val="00BB46B2"/>
    <w:rsid w:val="00BB4BB2"/>
    <w:rsid w:val="00BB6999"/>
    <w:rsid w:val="00BB7775"/>
    <w:rsid w:val="00BC0CED"/>
    <w:rsid w:val="00BC111A"/>
    <w:rsid w:val="00BC6C11"/>
    <w:rsid w:val="00BC7FC5"/>
    <w:rsid w:val="00BD0AF7"/>
    <w:rsid w:val="00BD0B62"/>
    <w:rsid w:val="00BD0BA1"/>
    <w:rsid w:val="00BD154E"/>
    <w:rsid w:val="00BD21BA"/>
    <w:rsid w:val="00BD3873"/>
    <w:rsid w:val="00BD3D45"/>
    <w:rsid w:val="00BD4567"/>
    <w:rsid w:val="00BD475A"/>
    <w:rsid w:val="00BD4944"/>
    <w:rsid w:val="00BD49E8"/>
    <w:rsid w:val="00BD4E49"/>
    <w:rsid w:val="00BD52CE"/>
    <w:rsid w:val="00BD612F"/>
    <w:rsid w:val="00BD6303"/>
    <w:rsid w:val="00BD6A2E"/>
    <w:rsid w:val="00BE32F3"/>
    <w:rsid w:val="00BE3A0D"/>
    <w:rsid w:val="00BE4D42"/>
    <w:rsid w:val="00BE6258"/>
    <w:rsid w:val="00BE69D2"/>
    <w:rsid w:val="00BE6CB6"/>
    <w:rsid w:val="00BE75E4"/>
    <w:rsid w:val="00BE7F13"/>
    <w:rsid w:val="00BF0A08"/>
    <w:rsid w:val="00BF157A"/>
    <w:rsid w:val="00BF26D4"/>
    <w:rsid w:val="00BF2DA9"/>
    <w:rsid w:val="00BF5041"/>
    <w:rsid w:val="00BF6EB3"/>
    <w:rsid w:val="00BF7647"/>
    <w:rsid w:val="00C01147"/>
    <w:rsid w:val="00C02219"/>
    <w:rsid w:val="00C038C7"/>
    <w:rsid w:val="00C05101"/>
    <w:rsid w:val="00C05221"/>
    <w:rsid w:val="00C1196A"/>
    <w:rsid w:val="00C12717"/>
    <w:rsid w:val="00C13EFA"/>
    <w:rsid w:val="00C14376"/>
    <w:rsid w:val="00C1475E"/>
    <w:rsid w:val="00C17530"/>
    <w:rsid w:val="00C2730C"/>
    <w:rsid w:val="00C2736C"/>
    <w:rsid w:val="00C30AE9"/>
    <w:rsid w:val="00C30C10"/>
    <w:rsid w:val="00C32359"/>
    <w:rsid w:val="00C3272F"/>
    <w:rsid w:val="00C346E3"/>
    <w:rsid w:val="00C35439"/>
    <w:rsid w:val="00C4042A"/>
    <w:rsid w:val="00C4296E"/>
    <w:rsid w:val="00C4352A"/>
    <w:rsid w:val="00C4374A"/>
    <w:rsid w:val="00C448E0"/>
    <w:rsid w:val="00C451AE"/>
    <w:rsid w:val="00C45886"/>
    <w:rsid w:val="00C471DE"/>
    <w:rsid w:val="00C50B97"/>
    <w:rsid w:val="00C5107A"/>
    <w:rsid w:val="00C51D98"/>
    <w:rsid w:val="00C52E24"/>
    <w:rsid w:val="00C54F99"/>
    <w:rsid w:val="00C55619"/>
    <w:rsid w:val="00C5680A"/>
    <w:rsid w:val="00C57541"/>
    <w:rsid w:val="00C60321"/>
    <w:rsid w:val="00C62445"/>
    <w:rsid w:val="00C626CA"/>
    <w:rsid w:val="00C62D23"/>
    <w:rsid w:val="00C7048A"/>
    <w:rsid w:val="00C721F6"/>
    <w:rsid w:val="00C7237D"/>
    <w:rsid w:val="00C72460"/>
    <w:rsid w:val="00C74DC7"/>
    <w:rsid w:val="00C751DE"/>
    <w:rsid w:val="00C753C8"/>
    <w:rsid w:val="00C75FE0"/>
    <w:rsid w:val="00C81367"/>
    <w:rsid w:val="00C8228D"/>
    <w:rsid w:val="00C83AEC"/>
    <w:rsid w:val="00C845B9"/>
    <w:rsid w:val="00C85872"/>
    <w:rsid w:val="00C85E0E"/>
    <w:rsid w:val="00C85E55"/>
    <w:rsid w:val="00C86D7B"/>
    <w:rsid w:val="00C90069"/>
    <w:rsid w:val="00C919EF"/>
    <w:rsid w:val="00C92A66"/>
    <w:rsid w:val="00C94593"/>
    <w:rsid w:val="00C958FC"/>
    <w:rsid w:val="00C96995"/>
    <w:rsid w:val="00C96FAD"/>
    <w:rsid w:val="00C96FBD"/>
    <w:rsid w:val="00C97166"/>
    <w:rsid w:val="00C976AD"/>
    <w:rsid w:val="00CA0DFE"/>
    <w:rsid w:val="00CA1FF5"/>
    <w:rsid w:val="00CA3BD8"/>
    <w:rsid w:val="00CA6694"/>
    <w:rsid w:val="00CA7019"/>
    <w:rsid w:val="00CA76FE"/>
    <w:rsid w:val="00CA79CC"/>
    <w:rsid w:val="00CA7B0C"/>
    <w:rsid w:val="00CA7FA4"/>
    <w:rsid w:val="00CB0955"/>
    <w:rsid w:val="00CB09C7"/>
    <w:rsid w:val="00CB0E82"/>
    <w:rsid w:val="00CB26E5"/>
    <w:rsid w:val="00CB28E1"/>
    <w:rsid w:val="00CB3A0C"/>
    <w:rsid w:val="00CB53FC"/>
    <w:rsid w:val="00CB54FB"/>
    <w:rsid w:val="00CB7A08"/>
    <w:rsid w:val="00CC01FF"/>
    <w:rsid w:val="00CC03FA"/>
    <w:rsid w:val="00CC16EC"/>
    <w:rsid w:val="00CC22E0"/>
    <w:rsid w:val="00CC2AD6"/>
    <w:rsid w:val="00CC2F68"/>
    <w:rsid w:val="00CC2FC4"/>
    <w:rsid w:val="00CC459E"/>
    <w:rsid w:val="00CC4C5E"/>
    <w:rsid w:val="00CC57B4"/>
    <w:rsid w:val="00CC7642"/>
    <w:rsid w:val="00CD0943"/>
    <w:rsid w:val="00CD0EBD"/>
    <w:rsid w:val="00CD10DF"/>
    <w:rsid w:val="00CD1FA3"/>
    <w:rsid w:val="00CD2D1E"/>
    <w:rsid w:val="00CD38DB"/>
    <w:rsid w:val="00CD4951"/>
    <w:rsid w:val="00CD4988"/>
    <w:rsid w:val="00CD6410"/>
    <w:rsid w:val="00CD6CF0"/>
    <w:rsid w:val="00CD7EA4"/>
    <w:rsid w:val="00CD7F22"/>
    <w:rsid w:val="00CE0B5D"/>
    <w:rsid w:val="00CE0CAB"/>
    <w:rsid w:val="00CE0D58"/>
    <w:rsid w:val="00CE2042"/>
    <w:rsid w:val="00CE334B"/>
    <w:rsid w:val="00CE3562"/>
    <w:rsid w:val="00CE4575"/>
    <w:rsid w:val="00CE4DA6"/>
    <w:rsid w:val="00CE7B8C"/>
    <w:rsid w:val="00CF0A4E"/>
    <w:rsid w:val="00CF1E3E"/>
    <w:rsid w:val="00CF20DF"/>
    <w:rsid w:val="00CF24E7"/>
    <w:rsid w:val="00CF5B79"/>
    <w:rsid w:val="00CF6D22"/>
    <w:rsid w:val="00CF6FB9"/>
    <w:rsid w:val="00CF7F90"/>
    <w:rsid w:val="00D00AF4"/>
    <w:rsid w:val="00D01548"/>
    <w:rsid w:val="00D02DCC"/>
    <w:rsid w:val="00D036B5"/>
    <w:rsid w:val="00D03D52"/>
    <w:rsid w:val="00D05A39"/>
    <w:rsid w:val="00D0696B"/>
    <w:rsid w:val="00D07144"/>
    <w:rsid w:val="00D07C87"/>
    <w:rsid w:val="00D10C14"/>
    <w:rsid w:val="00D110FA"/>
    <w:rsid w:val="00D118FF"/>
    <w:rsid w:val="00D12895"/>
    <w:rsid w:val="00D12CEA"/>
    <w:rsid w:val="00D12F4F"/>
    <w:rsid w:val="00D134DF"/>
    <w:rsid w:val="00D1444B"/>
    <w:rsid w:val="00D14748"/>
    <w:rsid w:val="00D16643"/>
    <w:rsid w:val="00D168AE"/>
    <w:rsid w:val="00D17932"/>
    <w:rsid w:val="00D20A2D"/>
    <w:rsid w:val="00D20ABE"/>
    <w:rsid w:val="00D20B60"/>
    <w:rsid w:val="00D22204"/>
    <w:rsid w:val="00D22E2A"/>
    <w:rsid w:val="00D24BE6"/>
    <w:rsid w:val="00D26AC2"/>
    <w:rsid w:val="00D26E8D"/>
    <w:rsid w:val="00D277B8"/>
    <w:rsid w:val="00D300F2"/>
    <w:rsid w:val="00D30904"/>
    <w:rsid w:val="00D309DD"/>
    <w:rsid w:val="00D31F38"/>
    <w:rsid w:val="00D339B0"/>
    <w:rsid w:val="00D33E28"/>
    <w:rsid w:val="00D3433F"/>
    <w:rsid w:val="00D347E5"/>
    <w:rsid w:val="00D347ED"/>
    <w:rsid w:val="00D356A4"/>
    <w:rsid w:val="00D36C3C"/>
    <w:rsid w:val="00D377B4"/>
    <w:rsid w:val="00D37E47"/>
    <w:rsid w:val="00D43688"/>
    <w:rsid w:val="00D43F0D"/>
    <w:rsid w:val="00D44387"/>
    <w:rsid w:val="00D44F67"/>
    <w:rsid w:val="00D46DCE"/>
    <w:rsid w:val="00D46FB3"/>
    <w:rsid w:val="00D472E9"/>
    <w:rsid w:val="00D47435"/>
    <w:rsid w:val="00D47B76"/>
    <w:rsid w:val="00D50316"/>
    <w:rsid w:val="00D52097"/>
    <w:rsid w:val="00D539B7"/>
    <w:rsid w:val="00D5422C"/>
    <w:rsid w:val="00D62059"/>
    <w:rsid w:val="00D62CE2"/>
    <w:rsid w:val="00D644B3"/>
    <w:rsid w:val="00D645CF"/>
    <w:rsid w:val="00D65839"/>
    <w:rsid w:val="00D658BD"/>
    <w:rsid w:val="00D65FBA"/>
    <w:rsid w:val="00D66F4A"/>
    <w:rsid w:val="00D67EA2"/>
    <w:rsid w:val="00D705C0"/>
    <w:rsid w:val="00D70E1B"/>
    <w:rsid w:val="00D71C5D"/>
    <w:rsid w:val="00D72857"/>
    <w:rsid w:val="00D72A0A"/>
    <w:rsid w:val="00D74E5B"/>
    <w:rsid w:val="00D75AC9"/>
    <w:rsid w:val="00D763B7"/>
    <w:rsid w:val="00D768D0"/>
    <w:rsid w:val="00D8035E"/>
    <w:rsid w:val="00D81434"/>
    <w:rsid w:val="00D81FA5"/>
    <w:rsid w:val="00D83660"/>
    <w:rsid w:val="00D86D6F"/>
    <w:rsid w:val="00D87A4C"/>
    <w:rsid w:val="00D87B64"/>
    <w:rsid w:val="00D87D8E"/>
    <w:rsid w:val="00D902B5"/>
    <w:rsid w:val="00D914A9"/>
    <w:rsid w:val="00D92A26"/>
    <w:rsid w:val="00D9338E"/>
    <w:rsid w:val="00D966BD"/>
    <w:rsid w:val="00DA2440"/>
    <w:rsid w:val="00DA30D5"/>
    <w:rsid w:val="00DA4337"/>
    <w:rsid w:val="00DA50B2"/>
    <w:rsid w:val="00DA6FCA"/>
    <w:rsid w:val="00DA7159"/>
    <w:rsid w:val="00DA76A8"/>
    <w:rsid w:val="00DB1499"/>
    <w:rsid w:val="00DB2155"/>
    <w:rsid w:val="00DB3D62"/>
    <w:rsid w:val="00DB3DB1"/>
    <w:rsid w:val="00DB3E86"/>
    <w:rsid w:val="00DB4F52"/>
    <w:rsid w:val="00DB5864"/>
    <w:rsid w:val="00DB586D"/>
    <w:rsid w:val="00DC089C"/>
    <w:rsid w:val="00DC0B89"/>
    <w:rsid w:val="00DC0D27"/>
    <w:rsid w:val="00DC0EF4"/>
    <w:rsid w:val="00DC11CA"/>
    <w:rsid w:val="00DC14F0"/>
    <w:rsid w:val="00DC17AF"/>
    <w:rsid w:val="00DC219D"/>
    <w:rsid w:val="00DC2269"/>
    <w:rsid w:val="00DC3C94"/>
    <w:rsid w:val="00DC5383"/>
    <w:rsid w:val="00DC5BAF"/>
    <w:rsid w:val="00DC5DA0"/>
    <w:rsid w:val="00DC7764"/>
    <w:rsid w:val="00DC792D"/>
    <w:rsid w:val="00DD0703"/>
    <w:rsid w:val="00DD1C87"/>
    <w:rsid w:val="00DD26F3"/>
    <w:rsid w:val="00DD3B61"/>
    <w:rsid w:val="00DD5360"/>
    <w:rsid w:val="00DD6AE4"/>
    <w:rsid w:val="00DD70BF"/>
    <w:rsid w:val="00DD7151"/>
    <w:rsid w:val="00DD74CF"/>
    <w:rsid w:val="00DE02B4"/>
    <w:rsid w:val="00DE1C3D"/>
    <w:rsid w:val="00DE248C"/>
    <w:rsid w:val="00DE2859"/>
    <w:rsid w:val="00DE2D4C"/>
    <w:rsid w:val="00DE40E2"/>
    <w:rsid w:val="00DE40EB"/>
    <w:rsid w:val="00DE4B8B"/>
    <w:rsid w:val="00DE59BF"/>
    <w:rsid w:val="00DE71A4"/>
    <w:rsid w:val="00DF1EB6"/>
    <w:rsid w:val="00DF389A"/>
    <w:rsid w:val="00DF4644"/>
    <w:rsid w:val="00DF4F98"/>
    <w:rsid w:val="00DF6BB6"/>
    <w:rsid w:val="00DF6BEC"/>
    <w:rsid w:val="00DF7D9F"/>
    <w:rsid w:val="00E0086C"/>
    <w:rsid w:val="00E0094A"/>
    <w:rsid w:val="00E009D8"/>
    <w:rsid w:val="00E02EF2"/>
    <w:rsid w:val="00E0383A"/>
    <w:rsid w:val="00E04E17"/>
    <w:rsid w:val="00E05966"/>
    <w:rsid w:val="00E061B4"/>
    <w:rsid w:val="00E06359"/>
    <w:rsid w:val="00E07A15"/>
    <w:rsid w:val="00E1311E"/>
    <w:rsid w:val="00E1336C"/>
    <w:rsid w:val="00E14528"/>
    <w:rsid w:val="00E16959"/>
    <w:rsid w:val="00E17268"/>
    <w:rsid w:val="00E17AEC"/>
    <w:rsid w:val="00E20EE8"/>
    <w:rsid w:val="00E217E2"/>
    <w:rsid w:val="00E21AE8"/>
    <w:rsid w:val="00E24F1F"/>
    <w:rsid w:val="00E274F3"/>
    <w:rsid w:val="00E2798D"/>
    <w:rsid w:val="00E27F8F"/>
    <w:rsid w:val="00E31039"/>
    <w:rsid w:val="00E311EE"/>
    <w:rsid w:val="00E31448"/>
    <w:rsid w:val="00E32896"/>
    <w:rsid w:val="00E3362B"/>
    <w:rsid w:val="00E33FA3"/>
    <w:rsid w:val="00E34A9E"/>
    <w:rsid w:val="00E34FBD"/>
    <w:rsid w:val="00E355C9"/>
    <w:rsid w:val="00E35B39"/>
    <w:rsid w:val="00E360F2"/>
    <w:rsid w:val="00E37C4E"/>
    <w:rsid w:val="00E40053"/>
    <w:rsid w:val="00E41247"/>
    <w:rsid w:val="00E41CDB"/>
    <w:rsid w:val="00E43471"/>
    <w:rsid w:val="00E43B5D"/>
    <w:rsid w:val="00E44115"/>
    <w:rsid w:val="00E44173"/>
    <w:rsid w:val="00E44963"/>
    <w:rsid w:val="00E44BA3"/>
    <w:rsid w:val="00E45663"/>
    <w:rsid w:val="00E46B80"/>
    <w:rsid w:val="00E46CDD"/>
    <w:rsid w:val="00E47358"/>
    <w:rsid w:val="00E503B2"/>
    <w:rsid w:val="00E50EA0"/>
    <w:rsid w:val="00E54A45"/>
    <w:rsid w:val="00E5674E"/>
    <w:rsid w:val="00E5781A"/>
    <w:rsid w:val="00E610BE"/>
    <w:rsid w:val="00E61569"/>
    <w:rsid w:val="00E61948"/>
    <w:rsid w:val="00E61DFA"/>
    <w:rsid w:val="00E624D4"/>
    <w:rsid w:val="00E64D2D"/>
    <w:rsid w:val="00E64E4A"/>
    <w:rsid w:val="00E670B8"/>
    <w:rsid w:val="00E67438"/>
    <w:rsid w:val="00E67786"/>
    <w:rsid w:val="00E7093B"/>
    <w:rsid w:val="00E70BE5"/>
    <w:rsid w:val="00E71B8C"/>
    <w:rsid w:val="00E72529"/>
    <w:rsid w:val="00E73BAF"/>
    <w:rsid w:val="00E74DD0"/>
    <w:rsid w:val="00E75A9C"/>
    <w:rsid w:val="00E76B08"/>
    <w:rsid w:val="00E770B1"/>
    <w:rsid w:val="00E80947"/>
    <w:rsid w:val="00E8116C"/>
    <w:rsid w:val="00E82783"/>
    <w:rsid w:val="00E84E1C"/>
    <w:rsid w:val="00E91459"/>
    <w:rsid w:val="00E91D07"/>
    <w:rsid w:val="00E923FA"/>
    <w:rsid w:val="00E92B0A"/>
    <w:rsid w:val="00E9406C"/>
    <w:rsid w:val="00E954A8"/>
    <w:rsid w:val="00E95BEA"/>
    <w:rsid w:val="00E95E55"/>
    <w:rsid w:val="00E962FA"/>
    <w:rsid w:val="00E96BCB"/>
    <w:rsid w:val="00E976F5"/>
    <w:rsid w:val="00EA4657"/>
    <w:rsid w:val="00EA5271"/>
    <w:rsid w:val="00EA7CF6"/>
    <w:rsid w:val="00EB088A"/>
    <w:rsid w:val="00EB0E23"/>
    <w:rsid w:val="00EB1C15"/>
    <w:rsid w:val="00EB1CB4"/>
    <w:rsid w:val="00EB1E5E"/>
    <w:rsid w:val="00EB3EAC"/>
    <w:rsid w:val="00EB40A4"/>
    <w:rsid w:val="00EB4E37"/>
    <w:rsid w:val="00EB5230"/>
    <w:rsid w:val="00EB604B"/>
    <w:rsid w:val="00EB6577"/>
    <w:rsid w:val="00EB67C2"/>
    <w:rsid w:val="00EB686B"/>
    <w:rsid w:val="00EB75D1"/>
    <w:rsid w:val="00EB7613"/>
    <w:rsid w:val="00EC03A7"/>
    <w:rsid w:val="00EC2430"/>
    <w:rsid w:val="00EC2743"/>
    <w:rsid w:val="00EC3D36"/>
    <w:rsid w:val="00EC4229"/>
    <w:rsid w:val="00EC4922"/>
    <w:rsid w:val="00EC611A"/>
    <w:rsid w:val="00EC6B90"/>
    <w:rsid w:val="00EC6F70"/>
    <w:rsid w:val="00EC7197"/>
    <w:rsid w:val="00ED0B38"/>
    <w:rsid w:val="00ED0C22"/>
    <w:rsid w:val="00ED1F8B"/>
    <w:rsid w:val="00ED3532"/>
    <w:rsid w:val="00ED3653"/>
    <w:rsid w:val="00ED40B0"/>
    <w:rsid w:val="00ED4B3E"/>
    <w:rsid w:val="00ED542F"/>
    <w:rsid w:val="00ED5A59"/>
    <w:rsid w:val="00ED7454"/>
    <w:rsid w:val="00EE0568"/>
    <w:rsid w:val="00EE1692"/>
    <w:rsid w:val="00EE2534"/>
    <w:rsid w:val="00EE2998"/>
    <w:rsid w:val="00EE3C2D"/>
    <w:rsid w:val="00EE4544"/>
    <w:rsid w:val="00EE5B05"/>
    <w:rsid w:val="00EE6287"/>
    <w:rsid w:val="00EF01BC"/>
    <w:rsid w:val="00EF0A82"/>
    <w:rsid w:val="00EF0B8D"/>
    <w:rsid w:val="00EF0C6F"/>
    <w:rsid w:val="00EF0F70"/>
    <w:rsid w:val="00EF12FE"/>
    <w:rsid w:val="00EF2BA6"/>
    <w:rsid w:val="00EF2F4F"/>
    <w:rsid w:val="00EF34C7"/>
    <w:rsid w:val="00EF3960"/>
    <w:rsid w:val="00EF3A5B"/>
    <w:rsid w:val="00EF438D"/>
    <w:rsid w:val="00EF4D7A"/>
    <w:rsid w:val="00EF5E32"/>
    <w:rsid w:val="00EF602E"/>
    <w:rsid w:val="00EF6F93"/>
    <w:rsid w:val="00F009F2"/>
    <w:rsid w:val="00F00B08"/>
    <w:rsid w:val="00F01D5D"/>
    <w:rsid w:val="00F0217A"/>
    <w:rsid w:val="00F03183"/>
    <w:rsid w:val="00F05397"/>
    <w:rsid w:val="00F068D0"/>
    <w:rsid w:val="00F078AB"/>
    <w:rsid w:val="00F1172C"/>
    <w:rsid w:val="00F1248D"/>
    <w:rsid w:val="00F12C08"/>
    <w:rsid w:val="00F157EA"/>
    <w:rsid w:val="00F158DC"/>
    <w:rsid w:val="00F17EF3"/>
    <w:rsid w:val="00F21663"/>
    <w:rsid w:val="00F25029"/>
    <w:rsid w:val="00F2615D"/>
    <w:rsid w:val="00F26467"/>
    <w:rsid w:val="00F26FDA"/>
    <w:rsid w:val="00F2745B"/>
    <w:rsid w:val="00F31F3C"/>
    <w:rsid w:val="00F3212D"/>
    <w:rsid w:val="00F35325"/>
    <w:rsid w:val="00F35804"/>
    <w:rsid w:val="00F35926"/>
    <w:rsid w:val="00F36243"/>
    <w:rsid w:val="00F36F59"/>
    <w:rsid w:val="00F3714D"/>
    <w:rsid w:val="00F4085A"/>
    <w:rsid w:val="00F4214D"/>
    <w:rsid w:val="00F42664"/>
    <w:rsid w:val="00F4275C"/>
    <w:rsid w:val="00F427DE"/>
    <w:rsid w:val="00F45C35"/>
    <w:rsid w:val="00F464FE"/>
    <w:rsid w:val="00F4774B"/>
    <w:rsid w:val="00F556C5"/>
    <w:rsid w:val="00F556CB"/>
    <w:rsid w:val="00F55817"/>
    <w:rsid w:val="00F563AB"/>
    <w:rsid w:val="00F5653B"/>
    <w:rsid w:val="00F5725E"/>
    <w:rsid w:val="00F572BD"/>
    <w:rsid w:val="00F615C3"/>
    <w:rsid w:val="00F617BA"/>
    <w:rsid w:val="00F632BB"/>
    <w:rsid w:val="00F6681A"/>
    <w:rsid w:val="00F66BE5"/>
    <w:rsid w:val="00F702E0"/>
    <w:rsid w:val="00F70366"/>
    <w:rsid w:val="00F7237A"/>
    <w:rsid w:val="00F74547"/>
    <w:rsid w:val="00F74613"/>
    <w:rsid w:val="00F74C16"/>
    <w:rsid w:val="00F80461"/>
    <w:rsid w:val="00F8071C"/>
    <w:rsid w:val="00F80D5E"/>
    <w:rsid w:val="00F83094"/>
    <w:rsid w:val="00F8312F"/>
    <w:rsid w:val="00F84992"/>
    <w:rsid w:val="00F853F6"/>
    <w:rsid w:val="00F8594A"/>
    <w:rsid w:val="00F8760C"/>
    <w:rsid w:val="00F9303B"/>
    <w:rsid w:val="00F93DAB"/>
    <w:rsid w:val="00F950F5"/>
    <w:rsid w:val="00F95776"/>
    <w:rsid w:val="00F959A8"/>
    <w:rsid w:val="00F95EDB"/>
    <w:rsid w:val="00F96CE6"/>
    <w:rsid w:val="00FA1088"/>
    <w:rsid w:val="00FA1EDA"/>
    <w:rsid w:val="00FA23CB"/>
    <w:rsid w:val="00FA24B0"/>
    <w:rsid w:val="00FA2B22"/>
    <w:rsid w:val="00FA5225"/>
    <w:rsid w:val="00FA5EB3"/>
    <w:rsid w:val="00FA6DA3"/>
    <w:rsid w:val="00FA7714"/>
    <w:rsid w:val="00FA7ED1"/>
    <w:rsid w:val="00FB0684"/>
    <w:rsid w:val="00FB1A8A"/>
    <w:rsid w:val="00FB2DE0"/>
    <w:rsid w:val="00FB3F4C"/>
    <w:rsid w:val="00FB4320"/>
    <w:rsid w:val="00FB4873"/>
    <w:rsid w:val="00FB4A6E"/>
    <w:rsid w:val="00FB6413"/>
    <w:rsid w:val="00FB6BCB"/>
    <w:rsid w:val="00FB799F"/>
    <w:rsid w:val="00FB7D8F"/>
    <w:rsid w:val="00FC0C49"/>
    <w:rsid w:val="00FC0CB4"/>
    <w:rsid w:val="00FC283E"/>
    <w:rsid w:val="00FC2E55"/>
    <w:rsid w:val="00FC4BF1"/>
    <w:rsid w:val="00FC70F2"/>
    <w:rsid w:val="00FC7E61"/>
    <w:rsid w:val="00FD037E"/>
    <w:rsid w:val="00FD0A28"/>
    <w:rsid w:val="00FD0C2A"/>
    <w:rsid w:val="00FD1934"/>
    <w:rsid w:val="00FD24A7"/>
    <w:rsid w:val="00FD38D1"/>
    <w:rsid w:val="00FE0538"/>
    <w:rsid w:val="00FE12FE"/>
    <w:rsid w:val="00FE25F5"/>
    <w:rsid w:val="00FE3930"/>
    <w:rsid w:val="00FE5AEA"/>
    <w:rsid w:val="00FE6213"/>
    <w:rsid w:val="00FE7FA5"/>
    <w:rsid w:val="00FF09FD"/>
    <w:rsid w:val="00FF34C0"/>
    <w:rsid w:val="00FF3718"/>
    <w:rsid w:val="00FF589A"/>
    <w:rsid w:val="00FF5EB1"/>
    <w:rsid w:val="00FF6930"/>
    <w:rsid w:val="00FF7D66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DF8DB"/>
  <w15:chartTrackingRefBased/>
  <w15:docId w15:val="{EDC80743-4A8A-41C0-ACF3-D3932026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B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B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BF1"/>
  </w:style>
  <w:style w:type="paragraph" w:styleId="Footer">
    <w:name w:val="footer"/>
    <w:basedOn w:val="Normal"/>
    <w:link w:val="FooterChar"/>
    <w:uiPriority w:val="99"/>
    <w:unhideWhenUsed/>
    <w:rsid w:val="00FC4BF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BF1"/>
  </w:style>
  <w:style w:type="character" w:styleId="CommentReference">
    <w:name w:val="annotation reference"/>
    <w:basedOn w:val="DefaultParagraphFont"/>
    <w:uiPriority w:val="99"/>
    <w:semiHidden/>
    <w:unhideWhenUsed/>
    <w:rsid w:val="0075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57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57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57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74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34CA2"/>
    <w:rPr>
      <w:b/>
      <w:bCs/>
    </w:rPr>
  </w:style>
  <w:style w:type="character" w:customStyle="1" w:styleId="docheader">
    <w:name w:val="doc_header"/>
    <w:basedOn w:val="DefaultParagraphFont"/>
    <w:rsid w:val="00C30AE9"/>
  </w:style>
  <w:style w:type="paragraph" w:styleId="NormalWeb">
    <w:name w:val="Normal (Web)"/>
    <w:basedOn w:val="Normal"/>
    <w:uiPriority w:val="99"/>
    <w:unhideWhenUsed/>
    <w:rsid w:val="005E5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7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D6053"/>
    <w:pPr>
      <w:spacing w:after="0" w:line="240" w:lineRule="auto"/>
    </w:pPr>
  </w:style>
  <w:style w:type="paragraph" w:customStyle="1" w:styleId="Default">
    <w:name w:val="Default"/>
    <w:rsid w:val="00166C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MD"/>
    </w:rPr>
  </w:style>
  <w:style w:type="character" w:styleId="Hyperlink">
    <w:name w:val="Hyperlink"/>
    <w:basedOn w:val="DefaultParagraphFont"/>
    <w:uiPriority w:val="99"/>
    <w:unhideWhenUsed/>
    <w:rsid w:val="006109E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09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4EEA"/>
    <w:rPr>
      <w:color w:val="605E5C"/>
      <w:shd w:val="clear" w:color="auto" w:fill="E1DFDD"/>
    </w:rPr>
  </w:style>
  <w:style w:type="character" w:customStyle="1" w:styleId="l5def1">
    <w:name w:val="l5def1"/>
    <w:rsid w:val="000B5802"/>
    <w:rPr>
      <w:rFonts w:ascii="Arial" w:hAnsi="Arial" w:cs="Arial" w:hint="default"/>
      <w:color w:val="000000"/>
      <w:sz w:val="26"/>
      <w:szCs w:val="26"/>
    </w:rPr>
  </w:style>
  <w:style w:type="paragraph" w:customStyle="1" w:styleId="rtecenter">
    <w:name w:val="rtecenter"/>
    <w:basedOn w:val="Normal"/>
    <w:rsid w:val="0004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2AC2"/>
    <w:rPr>
      <w:i/>
      <w:iCs/>
    </w:rPr>
  </w:style>
  <w:style w:type="paragraph" w:customStyle="1" w:styleId="right">
    <w:name w:val="right"/>
    <w:basedOn w:val="Normal"/>
    <w:rsid w:val="0004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874862a9-4d0f-4ed7-acc4-07876fee0cd3</TitusGUID>
  <TitusMetadata xmlns="">eyJucyI6IioiLCJwcm9wcyI6W3sibiI6IkNsYXNpZmljYXJlIiwidmFscyI6W3sidmFsdWUiOiJTUC0yIn1dfV19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2D5AA-0778-4A69-9D9B-70A645201A7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D8A26628-CA70-4B75-A5FD-4BE0F46D2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37</Pages>
  <Words>11944</Words>
  <Characters>69278</Characters>
  <Application>Microsoft Office Word</Application>
  <DocSecurity>0</DocSecurity>
  <Lines>577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2025-02-13T14:23:00Z</dcterms:created>
  <cp:lastPrinted>2025-01-10T07:53:00Z</cp:lastPrinted>
  <dcterms:modified xsi:type="dcterms:W3CDTF">2025-10-28T08:31:00Z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ba61f6ff-7b6f-4651-b86c-dcb0ae123e1b</vt:lpwstr>
  </property>
  <property fmtid="{D5CDD505-2E9C-101B-9397-08002B2CF9AE}" pid="3" name="MSIP_Label_d4854e4d-cbd9-4add-afce-3efecf8cc4fb_Enabled">
    <vt:lpwstr>True</vt:lpwstr>
  </property>
  <property fmtid="{D5CDD505-2E9C-101B-9397-08002B2CF9AE}" pid="4" name="MSIP_Label_d4854e4d-cbd9-4add-afce-3efecf8cc4fb_SiteId">
    <vt:lpwstr>c4f8f904-47e9-4e03-8a3a-90619d4a24a0</vt:lpwstr>
  </property>
  <property fmtid="{D5CDD505-2E9C-101B-9397-08002B2CF9AE}" pid="5" name="MSIP_Label_d4854e4d-cbd9-4add-afce-3efecf8cc4fb_Owner">
    <vt:lpwstr>Ionut.Horatau@bnr.ro</vt:lpwstr>
  </property>
  <property fmtid="{D5CDD505-2E9C-101B-9397-08002B2CF9AE}" pid="6" name="MSIP_Label_d4854e4d-cbd9-4add-afce-3efecf8cc4fb_SetDate">
    <vt:lpwstr>2022-12-15T12:31:09.8988119Z</vt:lpwstr>
  </property>
  <property fmtid="{D5CDD505-2E9C-101B-9397-08002B2CF9AE}" pid="7" name="MSIP_Label_d4854e4d-cbd9-4add-afce-3efecf8cc4fb_Name">
    <vt:lpwstr>Extern</vt:lpwstr>
  </property>
  <property fmtid="{D5CDD505-2E9C-101B-9397-08002B2CF9AE}" pid="8" name="MSIP_Label_d4854e4d-cbd9-4add-afce-3efecf8cc4fb_Application">
    <vt:lpwstr>Microsoft Azure Information Protection</vt:lpwstr>
  </property>
  <property fmtid="{D5CDD505-2E9C-101B-9397-08002B2CF9AE}" pid="9" name="MSIP_Label_d4854e4d-cbd9-4add-afce-3efecf8cc4fb_ActionId">
    <vt:lpwstr>2c81f5b3-978d-4032-9fe6-6af3ebcdd1a3</vt:lpwstr>
  </property>
  <property fmtid="{D5CDD505-2E9C-101B-9397-08002B2CF9AE}" pid="10" name="MSIP_Label_d4854e4d-cbd9-4add-afce-3efecf8cc4fb_Extended_MSFT_Method">
    <vt:lpwstr>Manual</vt:lpwstr>
  </property>
  <property fmtid="{D5CDD505-2E9C-101B-9397-08002B2CF9AE}" pid="11" name="Clasificare">
    <vt:lpwstr>SP-2</vt:lpwstr>
  </property>
  <property fmtid="{D5CDD505-2E9C-101B-9397-08002B2CF9AE}" pid="12" name="MSIP_Label_38962dcf-d39f-4edc-a396-338a56ba9170_Enabled">
    <vt:lpwstr>true</vt:lpwstr>
  </property>
  <property fmtid="{D5CDD505-2E9C-101B-9397-08002B2CF9AE}" pid="13" name="MSIP_Label_38962dcf-d39f-4edc-a396-338a56ba9170_SetDate">
    <vt:lpwstr>2024-12-11T08:12:31Z</vt:lpwstr>
  </property>
  <property fmtid="{D5CDD505-2E9C-101B-9397-08002B2CF9AE}" pid="14" name="MSIP_Label_38962dcf-d39f-4edc-a396-338a56ba9170_Method">
    <vt:lpwstr>Privileged</vt:lpwstr>
  </property>
  <property fmtid="{D5CDD505-2E9C-101B-9397-08002B2CF9AE}" pid="15" name="MSIP_Label_38962dcf-d39f-4edc-a396-338a56ba9170_Name">
    <vt:lpwstr>NONE</vt:lpwstr>
  </property>
  <property fmtid="{D5CDD505-2E9C-101B-9397-08002B2CF9AE}" pid="16" name="MSIP_Label_38962dcf-d39f-4edc-a396-338a56ba9170_SiteId">
    <vt:lpwstr>5887d430-0034-4561-b771-12c77faf2fa0</vt:lpwstr>
  </property>
  <property fmtid="{D5CDD505-2E9C-101B-9397-08002B2CF9AE}" pid="17" name="MSIP_Label_38962dcf-d39f-4edc-a396-338a56ba9170_ActionId">
    <vt:lpwstr>9ef8d596-7fbf-40b6-9771-01dbd75962b5</vt:lpwstr>
  </property>
  <property fmtid="{D5CDD505-2E9C-101B-9397-08002B2CF9AE}" pid="18" name="MSIP_Label_38962dcf-d39f-4edc-a396-338a56ba9170_ContentBits">
    <vt:lpwstr>0</vt:lpwstr>
  </property>
</Properties>
</file>