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F7FA" w14:textId="77777777" w:rsidR="00C438F8" w:rsidRPr="00C35AA5" w:rsidRDefault="00C438F8" w:rsidP="00C438F8">
      <w:pPr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</w:p>
    <w:p w14:paraId="7BC54929" w14:textId="6AA2D5E1" w:rsidR="00C438F8" w:rsidRPr="00C35AA5" w:rsidRDefault="00C438F8" w:rsidP="005E291C">
      <w:pPr>
        <w:spacing w:line="240" w:lineRule="auto"/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  <w:r w:rsidRPr="00C35AA5">
        <w:rPr>
          <w:rStyle w:val="docheader"/>
          <w:rFonts w:ascii="PermianSerifTypeface" w:hAnsi="PermianSerifTypeface"/>
          <w:b/>
          <w:color w:val="000000"/>
          <w:lang w:val="ro-RO"/>
        </w:rPr>
        <w:t>REGULAMENT</w:t>
      </w:r>
    </w:p>
    <w:p w14:paraId="04F547D3" w14:textId="6EAF0F34" w:rsidR="00C438F8" w:rsidRPr="00C438F8" w:rsidRDefault="00C438F8" w:rsidP="005E291C">
      <w:pPr>
        <w:spacing w:line="240" w:lineRule="auto"/>
        <w:jc w:val="center"/>
        <w:rPr>
          <w:rFonts w:ascii="PermianSerifTypeface" w:hAnsi="PermianSerifTypeface"/>
          <w:b/>
          <w:bCs/>
        </w:rPr>
      </w:pPr>
      <w:r w:rsidRPr="00C438F8">
        <w:rPr>
          <w:rFonts w:ascii="PermianSerifTypeface" w:hAnsi="PermianSerifTypeface"/>
          <w:b/>
          <w:bCs/>
        </w:rPr>
        <w:t>privind supravegherea Depozitarului central unic al valorilor mobiliare</w:t>
      </w:r>
    </w:p>
    <w:p w14:paraId="50D12B24" w14:textId="77777777" w:rsidR="00C438F8" w:rsidRPr="00C438F8" w:rsidRDefault="00C438F8" w:rsidP="00C35AA5">
      <w:pPr>
        <w:jc w:val="center"/>
        <w:rPr>
          <w:rFonts w:ascii="PermianSerifTypeface" w:hAnsi="PermianSerifTypeface"/>
          <w:sz w:val="22"/>
          <w:szCs w:val="22"/>
        </w:rPr>
      </w:pPr>
      <w:r w:rsidRPr="00C438F8">
        <w:rPr>
          <w:rFonts w:ascii="PermianSerifTypeface" w:hAnsi="PermianSerifTypeface"/>
          <w:i/>
          <w:iCs/>
          <w:sz w:val="22"/>
          <w:szCs w:val="22"/>
        </w:rPr>
        <w:t>Publicat în Monitorul Oficial al Republicii Moldova nr. 277-284 art. 1169 din 27.07.2018</w:t>
      </w:r>
    </w:p>
    <w:p w14:paraId="63E4C1CA" w14:textId="77777777" w:rsidR="00C438F8" w:rsidRPr="00C35AA5" w:rsidRDefault="00C438F8" w:rsidP="00C438F8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C438F8">
        <w:rPr>
          <w:rFonts w:ascii="PermianSerifTypeface" w:hAnsi="PermianSerifTypeface"/>
        </w:rPr>
        <w:t> </w:t>
      </w:r>
      <w:r w:rsidRPr="00C35AA5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Modificat  prin:</w:t>
      </w:r>
    </w:p>
    <w:p w14:paraId="59EB4164" w14:textId="77777777" w:rsidR="00C438F8" w:rsidRPr="00C35AA5" w:rsidRDefault="00C438F8" w:rsidP="00C438F8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C35AA5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HCE al BNM nr. 229 din 02.10.2025, MO al RM nr.523-525/132 din 09.10. 2025, în vigoare din 09.10.2025</w:t>
      </w:r>
    </w:p>
    <w:p w14:paraId="2FA53B56" w14:textId="3181FB00" w:rsidR="00C35AA5" w:rsidRPr="00C438F8" w:rsidRDefault="00C438F8" w:rsidP="00C438F8">
      <w:pPr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 </w:t>
      </w:r>
    </w:p>
    <w:p w14:paraId="71B4DF18" w14:textId="68919E2F" w:rsidR="00C438F8" w:rsidRPr="00C35AA5" w:rsidRDefault="00C438F8" w:rsidP="00C438F8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 w:cs="Arial"/>
          <w:b/>
          <w:bCs/>
          <w:lang w:val="ro-RO"/>
        </w:rPr>
      </w:pPr>
      <w:r w:rsidRPr="00C35AA5">
        <w:rPr>
          <w:rFonts w:ascii="PermianSerifTypeface" w:hAnsi="PermianSerifTypeface" w:cs="Arial"/>
          <w:b/>
          <w:bCs/>
          <w:lang w:val="ro-RO"/>
        </w:rPr>
        <w:t>APROBAT</w:t>
      </w:r>
      <w:r w:rsidRPr="00C438F8">
        <w:rPr>
          <w:rFonts w:ascii="PermianSerifTypeface" w:hAnsi="PermianSerifTypeface"/>
        </w:rPr>
        <w:br/>
      </w:r>
      <w:r w:rsidRPr="00C35AA5">
        <w:rPr>
          <w:rFonts w:ascii="PermianSerifTypeface" w:hAnsi="PermianSerifTypeface"/>
        </w:rPr>
        <w:t>prin</w:t>
      </w:r>
      <w:r w:rsidRPr="00C438F8">
        <w:rPr>
          <w:rFonts w:ascii="PermianSerifTypeface" w:hAnsi="PermianSerifTypeface"/>
        </w:rPr>
        <w:t xml:space="preserve"> Hotărârea Comitetului executiv</w:t>
      </w:r>
      <w:r w:rsidRPr="00C438F8">
        <w:rPr>
          <w:rFonts w:ascii="PermianSerifTypeface" w:hAnsi="PermianSerifTypeface"/>
        </w:rPr>
        <w:br/>
        <w:t xml:space="preserve">al Băncii </w:t>
      </w:r>
      <w:proofErr w:type="spellStart"/>
      <w:r w:rsidRPr="00C438F8">
        <w:rPr>
          <w:rFonts w:ascii="PermianSerifTypeface" w:hAnsi="PermianSerifTypeface"/>
        </w:rPr>
        <w:t>Naţionale</w:t>
      </w:r>
      <w:proofErr w:type="spellEnd"/>
      <w:r w:rsidRPr="00C438F8">
        <w:rPr>
          <w:rFonts w:ascii="PermianSerifTypeface" w:hAnsi="PermianSerifTypeface"/>
        </w:rPr>
        <w:t xml:space="preserve"> a Moldovei</w:t>
      </w:r>
      <w:r w:rsidRPr="00C438F8">
        <w:rPr>
          <w:rFonts w:ascii="PermianSerifTypeface" w:hAnsi="PermianSerifTypeface"/>
        </w:rPr>
        <w:br/>
        <w:t>nr. 158 din 11 iulie 2018</w:t>
      </w:r>
    </w:p>
    <w:p w14:paraId="207317A4" w14:textId="4D5F5E86" w:rsidR="00C438F8" w:rsidRPr="00C35AA5" w:rsidRDefault="00C438F8" w:rsidP="00C438F8">
      <w:pPr>
        <w:pStyle w:val="right"/>
        <w:spacing w:before="0" w:beforeAutospacing="0" w:after="0" w:afterAutospacing="0"/>
        <w:jc w:val="right"/>
        <w:rPr>
          <w:rFonts w:ascii="PermianSerifTypeface" w:hAnsi="PermianSerifTypeface"/>
          <w:color w:val="000000" w:themeColor="text1"/>
          <w:lang w:val="ro-RO"/>
        </w:rPr>
      </w:pPr>
      <w:r w:rsidRPr="00C35AA5">
        <w:rPr>
          <w:rFonts w:ascii="PermianSerifTypeface" w:hAnsi="PermianSerifTypeface"/>
          <w:color w:val="000000" w:themeColor="text1"/>
          <w:lang w:val="ro-RO"/>
        </w:rPr>
        <w:t>În vigoare: din </w:t>
      </w:r>
      <w:r w:rsidRPr="00C35AA5">
        <w:rPr>
          <w:rStyle w:val="Strong"/>
          <w:rFonts w:ascii="PermianSerifTypeface" w:hAnsi="PermianSerifTypeface"/>
          <w:color w:val="000000" w:themeColor="text1"/>
          <w:lang w:val="ro-RO"/>
        </w:rPr>
        <w:t>27 iulie 2018</w:t>
      </w:r>
    </w:p>
    <w:p w14:paraId="7E0EFFAA" w14:textId="77777777" w:rsidR="00C438F8" w:rsidRPr="00C438F8" w:rsidRDefault="00C438F8" w:rsidP="00C438F8">
      <w:pPr>
        <w:rPr>
          <w:rFonts w:ascii="PermianSerifTypeface" w:hAnsi="PermianSerifTypeface"/>
        </w:rPr>
      </w:pPr>
    </w:p>
    <w:p w14:paraId="471DA892" w14:textId="0A386B88" w:rsidR="00C35AA5" w:rsidRPr="00C438F8" w:rsidRDefault="00C438F8" w:rsidP="00C438F8">
      <w:pPr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 </w:t>
      </w:r>
    </w:p>
    <w:p w14:paraId="78A70A2C" w14:textId="3FA99F8C" w:rsidR="00C438F8" w:rsidRPr="00C438F8" w:rsidRDefault="00C438F8" w:rsidP="00C35AA5">
      <w:pPr>
        <w:spacing w:line="240" w:lineRule="auto"/>
        <w:jc w:val="center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CAPITOLUL I</w:t>
      </w:r>
      <w:r w:rsidRPr="00C438F8">
        <w:rPr>
          <w:rFonts w:ascii="PermianSerifTypeface" w:hAnsi="PermianSerifTypeface"/>
          <w:b/>
          <w:bCs/>
        </w:rPr>
        <w:br/>
      </w:r>
      <w:r w:rsidR="00C35AA5" w:rsidRPr="00C35AA5">
        <w:rPr>
          <w:rFonts w:ascii="PermianSerifTypeface" w:hAnsi="PermianSerifTypeface"/>
          <w:b/>
          <w:bCs/>
        </w:rPr>
        <w:t>PREVEDERI GENERALE</w:t>
      </w:r>
    </w:p>
    <w:p w14:paraId="3B3E4520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1.</w:t>
      </w:r>
      <w:r w:rsidRPr="00C438F8">
        <w:rPr>
          <w:rFonts w:ascii="PermianSerifTypeface" w:hAnsi="PermianSerifTypeface"/>
        </w:rPr>
        <w:t xml:space="preserve"> Prezentul Regulament este elaborat în temeiul art.5 alin. (1) lit. f), 11 alin. (1), 27 alin. (1) lit. c) și 49</w:t>
      </w:r>
      <w:r w:rsidRPr="00C438F8">
        <w:rPr>
          <w:rFonts w:ascii="PermianSerifTypeface" w:hAnsi="PermianSerifTypeface"/>
          <w:vertAlign w:val="superscript"/>
        </w:rPr>
        <w:t>2</w:t>
      </w:r>
      <w:r w:rsidRPr="00C438F8">
        <w:rPr>
          <w:rFonts w:ascii="PermianSerifTypeface" w:hAnsi="PermianSerifTypeface"/>
        </w:rPr>
        <w:t>  din Legea cu privire la Banca Națională a Moldovei nr. 548-XIII din 21 iulie 1995 și art. 17, 23-24, 26  din Legea nr. 234 din 3.10.2016 cu privire la Depozitarul central unic al valorilor mobiliare (în continuare – Legea nr. 234/2016).</w:t>
      </w:r>
    </w:p>
    <w:p w14:paraId="5EEEC24D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2.</w:t>
      </w:r>
      <w:r w:rsidRPr="00C438F8">
        <w:rPr>
          <w:rFonts w:ascii="PermianSerifTypeface" w:hAnsi="PermianSerifTypeface"/>
        </w:rPr>
        <w:t xml:space="preserve"> Supravegherea activității Depozitarului central unic al valorilor mobiliare (în continuare - Depozitarul central) este efectuată de către Banca Națională a Moldovei în baza raportărilor, informațiilor prezentate de către Depozitarul central conform Legii nr. 234/2016, precum și a prezentului Regulament și/sau prin controale efectuate la sediul Depozitarului central.</w:t>
      </w:r>
    </w:p>
    <w:p w14:paraId="08A0F079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3.</w:t>
      </w:r>
      <w:r w:rsidRPr="00C438F8">
        <w:rPr>
          <w:rFonts w:ascii="PermianSerifTypeface" w:hAnsi="PermianSerifTypeface"/>
        </w:rPr>
        <w:t xml:space="preserve"> Termenii și expresiile utilizate în prezentul Regulament au semnificațiile prevăzute în Legea nr. 548-XIII din 21.07.1995 cu privire la Banca Națională a Moldovei, Legea nr. 234/2016, Legea nr. 183 din 22.07.2016 cu privire la caracterul definitiv al decontării în sistemele de plăți </w:t>
      </w:r>
      <w:proofErr w:type="spellStart"/>
      <w:r w:rsidRPr="00C438F8">
        <w:rPr>
          <w:rFonts w:ascii="PermianSerifTypeface" w:hAnsi="PermianSerifTypeface"/>
        </w:rPr>
        <w:t>şi</w:t>
      </w:r>
      <w:proofErr w:type="spellEnd"/>
      <w:r w:rsidRPr="00C438F8">
        <w:rPr>
          <w:rFonts w:ascii="PermianSerifTypeface" w:hAnsi="PermianSerifTypeface"/>
        </w:rPr>
        <w:t xml:space="preserve"> de decontare a instrumentelor financiare.</w:t>
      </w:r>
    </w:p>
    <w:p w14:paraId="21360609" w14:textId="77777777" w:rsidR="00C438F8" w:rsidRPr="00C438F8" w:rsidRDefault="00C438F8" w:rsidP="00C35AA5">
      <w:pPr>
        <w:spacing w:line="240" w:lineRule="auto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 </w:t>
      </w:r>
    </w:p>
    <w:p w14:paraId="309243F6" w14:textId="218DF9F4" w:rsidR="00C438F8" w:rsidRPr="00C438F8" w:rsidRDefault="00C438F8" w:rsidP="00C35AA5">
      <w:pPr>
        <w:spacing w:line="240" w:lineRule="auto"/>
        <w:jc w:val="center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CAPITOLUL II</w:t>
      </w:r>
      <w:r w:rsidRPr="00C438F8">
        <w:rPr>
          <w:rFonts w:ascii="PermianSerifTypeface" w:hAnsi="PermianSerifTypeface"/>
          <w:b/>
          <w:bCs/>
        </w:rPr>
        <w:br/>
      </w:r>
      <w:r w:rsidR="00C35AA5" w:rsidRPr="00C35AA5">
        <w:rPr>
          <w:rFonts w:ascii="PermianSerifTypeface" w:hAnsi="PermianSerifTypeface"/>
          <w:b/>
          <w:bCs/>
        </w:rPr>
        <w:t>OBLIGAȚIILE DEPOZITARULUI CENTRAL</w:t>
      </w:r>
    </w:p>
    <w:p w14:paraId="57D9927E" w14:textId="77777777" w:rsidR="00C438F8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4.</w:t>
      </w:r>
      <w:r w:rsidRPr="00C438F8">
        <w:rPr>
          <w:rFonts w:ascii="PermianSerifTypeface" w:hAnsi="PermianSerifTypeface"/>
        </w:rPr>
        <w:t xml:space="preserve"> Depozitarul central va transmite, zilnic  (dar nu mai târziu de ora 10:00), Băncii Naționale a Moldovei (în continuare - BNM):</w:t>
      </w:r>
    </w:p>
    <w:p w14:paraId="14BFC047" w14:textId="416EEF27" w:rsidR="00C438F8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1) rapoartele și informațiile cu privire la activitatea de compensare (clearing) și decontare pentru ziua operațională precedentă în vederea îndeplinirii de către BNM a atribuțiilor de evaluare a riscului sistemic indus de sistemele de compensare și decontare de importanță sistemică;</w:t>
      </w:r>
    </w:p>
    <w:p w14:paraId="76461326" w14:textId="1B4020F0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lastRenderedPageBreak/>
        <w:t>2) raportul privind incidentele operaționale care au avut loc în ziua operațională precedentă și au afectat buna prestare a oricăror servicii de bază, măsurile luate pentru soluționarea acestora, precum și rezultatele acestora.</w:t>
      </w:r>
    </w:p>
    <w:p w14:paraId="07A4C924" w14:textId="77777777" w:rsidR="00C438F8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5.</w:t>
      </w:r>
      <w:r w:rsidRPr="00C438F8">
        <w:rPr>
          <w:rFonts w:ascii="PermianSerifTypeface" w:hAnsi="PermianSerifTypeface"/>
        </w:rPr>
        <w:t xml:space="preserve"> Depozitarul central va notifica de îndată, dar nu mai târziu de următoarea zi lucrătoare de la data survenirii evenimentului BNM, următoarele situații:</w:t>
      </w:r>
    </w:p>
    <w:p w14:paraId="31F3D20A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1) încălcarea regulamentelor și procedurilor Depozitarului central de către Participanții săi, precum și măsurile de remediere întreprinse/adoptate;</w:t>
      </w:r>
    </w:p>
    <w:p w14:paraId="05C868DB" w14:textId="55B8E9F2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2) raportul cu privire la orice modificări operaționale care afectează activitățile sau conexiunile Depozitarului central;</w:t>
      </w:r>
    </w:p>
    <w:p w14:paraId="79599063" w14:textId="4F623642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3) cazurile de identificare a conflictelor de interese. Modul în care au fost gestionate vor fi comunicate BNM după remedierea lor.</w:t>
      </w:r>
    </w:p>
    <w:p w14:paraId="7C052244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6.</w:t>
      </w:r>
      <w:r w:rsidRPr="00C438F8">
        <w:rPr>
          <w:rFonts w:ascii="PermianSerifTypeface" w:hAnsi="PermianSerifTypeface"/>
        </w:rPr>
        <w:t xml:space="preserve"> La solicitarea BNM, Depozitarul central va transmite procesele-verbale aferente ședințelor adunărilor generale ale acționarilor.</w:t>
      </w:r>
    </w:p>
    <w:p w14:paraId="1314D055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7.</w:t>
      </w:r>
      <w:r w:rsidRPr="00C438F8">
        <w:rPr>
          <w:rFonts w:ascii="PermianSerifTypeface" w:hAnsi="PermianSerifTypeface"/>
        </w:rPr>
        <w:t xml:space="preserve"> Depozitarul central va transmite către BNM, trimestrial, în termen de cel mult 20 zile lucrătoare după finalizarea trimestrului, următoarele informații:</w:t>
      </w:r>
    </w:p>
    <w:p w14:paraId="71F9BACE" w14:textId="551EA10A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1) situațiile financiare pentru trimestrul precedent;</w:t>
      </w:r>
    </w:p>
    <w:p w14:paraId="1B419692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2) informația cu privire la numărul și tipurile de Participanți, emitenți și conturile deschise ale acestora;</w:t>
      </w:r>
    </w:p>
    <w:p w14:paraId="6C009817" w14:textId="1F01986F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3) numărul, tipul și cantitatea de valori mobiliare deținute și/sau procesate de către Depozitarul central.</w:t>
      </w:r>
    </w:p>
    <w:p w14:paraId="59DDFD7E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8. Depozitarul central va transmite către BNM, anual, până în data de 30 aprilie, următoarele informații și documente:</w:t>
      </w:r>
    </w:p>
    <w:p w14:paraId="2147F654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1) raportul de activitate al Depozitarului central care să cuprindă, cel puțin, următoarele:</w:t>
      </w:r>
    </w:p>
    <w:p w14:paraId="7CE9B235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a) organigrama și structura funcțională;</w:t>
      </w:r>
    </w:p>
    <w:p w14:paraId="50053C04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b) externalizarea activităților și serviciilor;</w:t>
      </w:r>
    </w:p>
    <w:p w14:paraId="18719DEA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c) sistemul de control intern;</w:t>
      </w:r>
    </w:p>
    <w:p w14:paraId="755041D7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d) măsurile luate pentru a asigura respectarea reglementărilor, la păstrarea conturilor, înregistrarea transferurilor de proprietate, precum și măsurile întreprinse în vederea combaterii spălării banilor și finanțării terorismului;</w:t>
      </w:r>
    </w:p>
    <w:p w14:paraId="2D353AC6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e) managementul riscurilor la care este expus;</w:t>
      </w:r>
    </w:p>
    <w:p w14:paraId="058C4A84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2) situațiile financiare auditate ale Depozitarului central;</w:t>
      </w:r>
    </w:p>
    <w:p w14:paraId="164C401C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 xml:space="preserve">3) informațiile cu privire la procesele civile, administrative sau orice alte proceduri judiciare sau extrajudiciare în care este implicat Depozitarul central, entitatea către care au fost </w:t>
      </w:r>
      <w:proofErr w:type="spellStart"/>
      <w:r w:rsidRPr="00C438F8">
        <w:rPr>
          <w:rFonts w:ascii="PermianSerifTypeface" w:hAnsi="PermianSerifTypeface"/>
        </w:rPr>
        <w:t>externalizate</w:t>
      </w:r>
      <w:proofErr w:type="spellEnd"/>
      <w:r w:rsidRPr="00C438F8">
        <w:rPr>
          <w:rFonts w:ascii="PermianSerifTypeface" w:hAnsi="PermianSerifTypeface"/>
        </w:rPr>
        <w:t xml:space="preserve"> activitățile sau serviciile Depozitarului central sau entitățile de infrastructură ale pieței de capital cu care este conectat;</w:t>
      </w:r>
    </w:p>
    <w:p w14:paraId="73A93DFA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4) informația privind identificarea operațiunilor critice ale Depozitarului central, orice modificări substanțiale aduse planului său de redresare, factorii și instrumentele de recuperare ale Depozitarului central;</w:t>
      </w:r>
    </w:p>
    <w:p w14:paraId="13BFA5B0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5) informația cu privire la plângerile oficiale recepționate de către Depozitarul central în cursul perioadei examinate;</w:t>
      </w:r>
    </w:p>
    <w:p w14:paraId="3909A0D3" w14:textId="20314CF9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6)</w:t>
      </w:r>
      <w:r w:rsidR="000E04F9">
        <w:rPr>
          <w:rFonts w:ascii="PermianSerifTypeface" w:hAnsi="PermianSerifTypeface"/>
        </w:rPr>
        <w:t xml:space="preserve"> </w:t>
      </w:r>
      <w:r w:rsidRPr="00C438F8">
        <w:rPr>
          <w:rFonts w:ascii="PermianSerifTypeface" w:hAnsi="PermianSerifTypeface"/>
        </w:rPr>
        <w:t xml:space="preserve">informația privind controalele interne și </w:t>
      </w:r>
      <w:proofErr w:type="spellStart"/>
      <w:r w:rsidRPr="00C438F8">
        <w:rPr>
          <w:rFonts w:ascii="PermianSerifTypeface" w:hAnsi="PermianSerifTypeface"/>
        </w:rPr>
        <w:t>auditele</w:t>
      </w:r>
      <w:proofErr w:type="spellEnd"/>
      <w:r w:rsidRPr="00C438F8">
        <w:rPr>
          <w:rFonts w:ascii="PermianSerifTypeface" w:hAnsi="PermianSerifTypeface"/>
        </w:rPr>
        <w:t xml:space="preserve"> efectuate de către Depozitarul central în cursul perioadei examinate;</w:t>
      </w:r>
    </w:p>
    <w:p w14:paraId="5ABB2E5B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 xml:space="preserve">7) </w:t>
      </w:r>
      <w:proofErr w:type="spellStart"/>
      <w:r w:rsidRPr="00C438F8">
        <w:rPr>
          <w:rFonts w:ascii="PermianSerifTypeface" w:hAnsi="PermianSerifTypeface"/>
        </w:rPr>
        <w:t>informaţia</w:t>
      </w:r>
      <w:proofErr w:type="spellEnd"/>
      <w:r w:rsidRPr="00C438F8">
        <w:rPr>
          <w:rFonts w:ascii="PermianSerifTypeface" w:hAnsi="PermianSerifTypeface"/>
        </w:rPr>
        <w:t xml:space="preserve"> privind numărul, tipul </w:t>
      </w:r>
      <w:proofErr w:type="spellStart"/>
      <w:r w:rsidRPr="00C438F8">
        <w:rPr>
          <w:rFonts w:ascii="PermianSerifTypeface" w:hAnsi="PermianSerifTypeface"/>
        </w:rPr>
        <w:t>şi</w:t>
      </w:r>
      <w:proofErr w:type="spellEnd"/>
      <w:r w:rsidRPr="00C438F8">
        <w:rPr>
          <w:rFonts w:ascii="PermianSerifTypeface" w:hAnsi="PermianSerifTypeface"/>
        </w:rPr>
        <w:t xml:space="preserve"> amploarea problemelor de reconciliere stabilite de către Depozitarul central, atât la nivel intern, cât în raport cu participanții, piețele reglementate sau sistemele multilaterale de tranzacționare;</w:t>
      </w:r>
    </w:p>
    <w:p w14:paraId="556653C3" w14:textId="59277B89" w:rsidR="00C438F8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lastRenderedPageBreak/>
        <w:t>8) structura acționarilor Depozitarului central, cu indicarea pentru fiecare acționar a numărului și tipului de acțiuni deținute, precum și a procentului de acțiuni cu drept de vot deținute;</w:t>
      </w:r>
    </w:p>
    <w:p w14:paraId="7898CDA2" w14:textId="77777777" w:rsidR="00C438F8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9) lista acordurilor (contractelor) încheiate de către Depozitarul central. Informația cu referință la acordurile (contractele) trebuie să cuprindă cel puțin următoarele: numărul și data, entitatea cu care s-a încheiat acordurile (contractele), obiectul, termenele și condițiile de livrare/prestare, prețul și condițiile de plată;</w:t>
      </w:r>
    </w:p>
    <w:p w14:paraId="6DD7A144" w14:textId="3EA26F68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10) toate hotărârile adunărilor generale ale acționarilor, ale Consiliului de supraveghere și ale Comitetului executiv cu privire la activitatea de depozitare, registru, compensare și decontare a valorilor mobiliare.</w:t>
      </w:r>
    </w:p>
    <w:p w14:paraId="045291BD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9.</w:t>
      </w:r>
      <w:r w:rsidRPr="00C438F8">
        <w:rPr>
          <w:rFonts w:ascii="PermianSerifTypeface" w:hAnsi="PermianSerifTypeface"/>
        </w:rPr>
        <w:t xml:space="preserve"> Cel puțin anual, Depozitarul central are obligația de a testa măsurile de asigurare a securității și continuității sistemelor </w:t>
      </w:r>
      <w:proofErr w:type="spellStart"/>
      <w:r w:rsidRPr="00C438F8">
        <w:rPr>
          <w:rFonts w:ascii="PermianSerifTypeface" w:hAnsi="PermianSerifTypeface"/>
        </w:rPr>
        <w:t>şi</w:t>
      </w:r>
      <w:proofErr w:type="spellEnd"/>
      <w:r w:rsidRPr="00C438F8">
        <w:rPr>
          <w:rFonts w:ascii="PermianSerifTypeface" w:hAnsi="PermianSerifTypeface"/>
        </w:rPr>
        <w:t xml:space="preserve"> infrastructurii TI, măsurilor implementate aferent asigurării continuității serviciilor </w:t>
      </w:r>
      <w:proofErr w:type="spellStart"/>
      <w:r w:rsidRPr="00C438F8">
        <w:rPr>
          <w:rFonts w:ascii="PermianSerifTypeface" w:hAnsi="PermianSerifTypeface"/>
        </w:rPr>
        <w:t>şi</w:t>
      </w:r>
      <w:proofErr w:type="spellEnd"/>
      <w:r w:rsidRPr="00C438F8">
        <w:rPr>
          <w:rFonts w:ascii="PermianSerifTypeface" w:hAnsi="PermianSerifTypeface"/>
        </w:rPr>
        <w:t xml:space="preserve"> sistemelor de infrastructură non-IT care prezintă o importanță deosebită pentru furnizarea serviciilor de depozitare, registru, compensare și decontare.</w:t>
      </w:r>
    </w:p>
    <w:p w14:paraId="6EAD9FA7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10.</w:t>
      </w:r>
      <w:r w:rsidRPr="00C438F8">
        <w:rPr>
          <w:rFonts w:ascii="PermianSerifTypeface" w:hAnsi="PermianSerifTypeface"/>
        </w:rPr>
        <w:t xml:space="preserve"> Testele vor fi realizate de către o terță parte sau de către departamentul/subdiviziunea specializată din cadrul Depozitarului central, cu condiția că acesta din urmă să fie diferit și independent de departamentul/subdiviziunea responsabilă de dezvoltarea, implementarea sistemului informatic, infrastructurii TI.</w:t>
      </w:r>
    </w:p>
    <w:p w14:paraId="15D2B904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11.</w:t>
      </w:r>
      <w:r w:rsidRPr="00C438F8">
        <w:rPr>
          <w:rFonts w:ascii="PermianSerifTypeface" w:hAnsi="PermianSerifTypeface"/>
        </w:rPr>
        <w:t xml:space="preserve"> Rezultatele acestor teste vor fi transmise către BNM, până cel târziu la 31 decembrie al anului de gestiune, împreună cu măsurile luate sau propuse a se lua de către Depozitarul central pentru a elimina disfuncționalitățile identificate.</w:t>
      </w:r>
    </w:p>
    <w:p w14:paraId="50107EEE" w14:textId="4FE54503" w:rsidR="00C438F8" w:rsidRPr="00C438F8" w:rsidRDefault="00C438F8" w:rsidP="00C35AA5">
      <w:pPr>
        <w:spacing w:line="240" w:lineRule="auto"/>
        <w:rPr>
          <w:rFonts w:ascii="PermianSerifTypeface" w:hAnsi="PermianSerifTypeface"/>
        </w:rPr>
      </w:pPr>
    </w:p>
    <w:p w14:paraId="23E25E4F" w14:textId="46003446" w:rsidR="00C438F8" w:rsidRPr="00C438F8" w:rsidRDefault="00C438F8" w:rsidP="00C35AA5">
      <w:pPr>
        <w:spacing w:line="240" w:lineRule="auto"/>
        <w:jc w:val="center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CAPITOLUL III</w:t>
      </w:r>
      <w:r w:rsidRPr="00C438F8">
        <w:rPr>
          <w:rFonts w:ascii="PermianSerifTypeface" w:hAnsi="PermianSerifTypeface"/>
          <w:b/>
          <w:bCs/>
        </w:rPr>
        <w:br/>
      </w:r>
      <w:r w:rsidR="00C35AA5" w:rsidRPr="00C35AA5">
        <w:rPr>
          <w:rFonts w:ascii="PermianSerifTypeface" w:hAnsi="PermianSerifTypeface"/>
          <w:b/>
          <w:bCs/>
        </w:rPr>
        <w:t>SUPRAVEGHEREA DEPOZITARULUI CENTRAL</w:t>
      </w:r>
    </w:p>
    <w:p w14:paraId="3E48BB1D" w14:textId="0D9112D3" w:rsidR="00C438F8" w:rsidRPr="000E04F9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  <w:lang w:val="ro-RO"/>
        </w:rPr>
      </w:pPr>
      <w:r w:rsidRPr="000E04F9">
        <w:rPr>
          <w:rFonts w:ascii="PermianSerifTypeface" w:hAnsi="PermianSerifTypeface"/>
          <w:b/>
          <w:bCs/>
          <w:lang w:val="ro-RO"/>
        </w:rPr>
        <w:t>12.</w:t>
      </w:r>
      <w:r w:rsidRPr="000E04F9">
        <w:rPr>
          <w:rFonts w:ascii="PermianSerifTypeface" w:hAnsi="PermianSerifTypeface"/>
          <w:lang w:val="ro-RO"/>
        </w:rPr>
        <w:t xml:space="preserve"> </w:t>
      </w:r>
      <w:r w:rsidR="00C35AA5" w:rsidRPr="000E04F9">
        <w:rPr>
          <w:rFonts w:ascii="PermianSerifTypeface" w:hAnsi="PermianSerifTypeface"/>
          <w:lang w:val="ro-RO"/>
        </w:rPr>
        <w:t xml:space="preserve">BNM examinează, în cadrul controlului </w:t>
      </w:r>
      <w:proofErr w:type="spellStart"/>
      <w:r w:rsidR="00C35AA5" w:rsidRPr="000E04F9">
        <w:rPr>
          <w:rFonts w:ascii="PermianSerifTypeface" w:hAnsi="PermianSerifTypeface"/>
          <w:lang w:val="ro-RO"/>
        </w:rPr>
        <w:t>şi</w:t>
      </w:r>
      <w:proofErr w:type="spellEnd"/>
      <w:r w:rsidR="00C35AA5" w:rsidRPr="000E04F9">
        <w:rPr>
          <w:rFonts w:ascii="PermianSerifTypeface" w:hAnsi="PermianSerifTypeface"/>
          <w:lang w:val="ro-RO"/>
        </w:rPr>
        <w:t xml:space="preserve">/sau monitorizării, acordurile (contractele) încheiate de către Depozitarul central, strategiile, procesele </w:t>
      </w:r>
      <w:proofErr w:type="spellStart"/>
      <w:r w:rsidR="00C35AA5" w:rsidRPr="000E04F9">
        <w:rPr>
          <w:rFonts w:ascii="PermianSerifTypeface" w:hAnsi="PermianSerifTypeface"/>
          <w:lang w:val="ro-RO"/>
        </w:rPr>
        <w:t>şi</w:t>
      </w:r>
      <w:proofErr w:type="spellEnd"/>
      <w:r w:rsidR="00C35AA5" w:rsidRPr="000E04F9">
        <w:rPr>
          <w:rFonts w:ascii="PermianSerifTypeface" w:hAnsi="PermianSerifTypeface"/>
          <w:lang w:val="ro-RO"/>
        </w:rPr>
        <w:t xml:space="preserve"> sistemele </w:t>
      </w:r>
      <w:r w:rsidR="000E04F9" w:rsidRPr="000E04F9">
        <w:rPr>
          <w:rFonts w:ascii="PermianSerifTypeface" w:hAnsi="PermianSerifTypeface"/>
          <w:lang w:val="ro-RO"/>
        </w:rPr>
        <w:t>informaționale</w:t>
      </w:r>
      <w:r w:rsidR="00C35AA5" w:rsidRPr="000E04F9">
        <w:rPr>
          <w:rFonts w:ascii="PermianSerifTypeface" w:hAnsi="PermianSerifTypeface"/>
          <w:lang w:val="ro-RO"/>
        </w:rPr>
        <w:t xml:space="preserve"> implementate de către acesta, în vederea evaluării </w:t>
      </w:r>
      <w:r w:rsidR="000E04F9" w:rsidRPr="000E04F9">
        <w:rPr>
          <w:rFonts w:ascii="PermianSerifTypeface" w:hAnsi="PermianSerifTypeface"/>
          <w:lang w:val="ro-RO"/>
        </w:rPr>
        <w:t>conformității</w:t>
      </w:r>
      <w:r w:rsidR="00C35AA5" w:rsidRPr="000E04F9">
        <w:rPr>
          <w:rFonts w:ascii="PermianSerifTypeface" w:hAnsi="PermianSerifTypeface"/>
          <w:lang w:val="ro-RO"/>
        </w:rPr>
        <w:t xml:space="preserve"> cu Legea nr.234/2016 </w:t>
      </w:r>
      <w:proofErr w:type="spellStart"/>
      <w:r w:rsidR="00C35AA5" w:rsidRPr="000E04F9">
        <w:rPr>
          <w:rFonts w:ascii="PermianSerifTypeface" w:hAnsi="PermianSerifTypeface"/>
          <w:lang w:val="ro-RO"/>
        </w:rPr>
        <w:t>şi</w:t>
      </w:r>
      <w:proofErr w:type="spellEnd"/>
      <w:r w:rsidR="00C35AA5" w:rsidRPr="000E04F9">
        <w:rPr>
          <w:rFonts w:ascii="PermianSerifTypeface" w:hAnsi="PermianSerifTypeface"/>
          <w:lang w:val="ro-RO"/>
        </w:rPr>
        <w:t xml:space="preserve"> în scopul evaluării riscurilor la care Depozitarul central este sau ar putea fi expus.</w:t>
      </w:r>
    </w:p>
    <w:p w14:paraId="073F2D24" w14:textId="5EA39F9E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13.</w:t>
      </w:r>
      <w:r w:rsidR="00C35AA5">
        <w:rPr>
          <w:rFonts w:ascii="PermianSerifTypeface" w:hAnsi="PermianSerifTypeface"/>
        </w:rPr>
        <w:t xml:space="preserve"> </w:t>
      </w:r>
      <w:r w:rsidR="00C35AA5" w:rsidRPr="00C35AA5">
        <w:rPr>
          <w:rFonts w:ascii="PermianSerifTypeface" w:hAnsi="PermianSerifTypeface"/>
        </w:rPr>
        <w:t xml:space="preserve">Planul de control al BNM cu privire la Depozitarul central este elaborat </w:t>
      </w:r>
      <w:r w:rsidR="000E04F9" w:rsidRPr="00C35AA5">
        <w:rPr>
          <w:rFonts w:ascii="PermianSerifTypeface" w:hAnsi="PermianSerifTypeface"/>
        </w:rPr>
        <w:t>ținând</w:t>
      </w:r>
      <w:r w:rsidR="00C35AA5" w:rsidRPr="00C35AA5">
        <w:rPr>
          <w:rFonts w:ascii="PermianSerifTypeface" w:hAnsi="PermianSerifTypeface"/>
        </w:rPr>
        <w:t xml:space="preserve"> cont de încălcările depistate în cadrul controalelor precedente, măsurile întreprinse de către acesta în vederea încetării </w:t>
      </w:r>
      <w:proofErr w:type="spellStart"/>
      <w:r w:rsidR="00C35AA5" w:rsidRPr="00C35AA5">
        <w:rPr>
          <w:rFonts w:ascii="PermianSerifTypeface" w:hAnsi="PermianSerifTypeface"/>
        </w:rPr>
        <w:t>şi</w:t>
      </w:r>
      <w:proofErr w:type="spellEnd"/>
      <w:r w:rsidR="00C35AA5" w:rsidRPr="00C35AA5">
        <w:rPr>
          <w:rFonts w:ascii="PermianSerifTypeface" w:hAnsi="PermianSerifTypeface"/>
        </w:rPr>
        <w:t xml:space="preserve">/sau lichidării încălcărilor constatate anterior, riscurile la care este/poate fi expus </w:t>
      </w:r>
      <w:proofErr w:type="spellStart"/>
      <w:r w:rsidR="00C35AA5" w:rsidRPr="00C35AA5">
        <w:rPr>
          <w:rFonts w:ascii="PermianSerifTypeface" w:hAnsi="PermianSerifTypeface"/>
        </w:rPr>
        <w:t>şi</w:t>
      </w:r>
      <w:proofErr w:type="spellEnd"/>
      <w:r w:rsidR="00C35AA5" w:rsidRPr="00C35AA5">
        <w:rPr>
          <w:rFonts w:ascii="PermianSerifTypeface" w:hAnsi="PermianSerifTypeface"/>
        </w:rPr>
        <w:t xml:space="preserve"> sesizările parvenite în adresa BNM. Depozitarul central va fi supus controlului cel </w:t>
      </w:r>
      <w:r w:rsidR="000E04F9" w:rsidRPr="00C35AA5">
        <w:rPr>
          <w:rFonts w:ascii="PermianSerifTypeface" w:hAnsi="PermianSerifTypeface"/>
        </w:rPr>
        <w:t>puțin</w:t>
      </w:r>
      <w:r w:rsidR="00C35AA5" w:rsidRPr="00C35AA5">
        <w:rPr>
          <w:rFonts w:ascii="PermianSerifTypeface" w:hAnsi="PermianSerifTypeface"/>
        </w:rPr>
        <w:t xml:space="preserve"> o data la 3 ani.</w:t>
      </w:r>
    </w:p>
    <w:p w14:paraId="1DB37D3F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14.</w:t>
      </w:r>
      <w:r w:rsidRPr="00C438F8">
        <w:rPr>
          <w:rFonts w:ascii="PermianSerifTypeface" w:hAnsi="PermianSerifTypeface"/>
        </w:rPr>
        <w:t xml:space="preserve"> BNM este în drept să examineze conturile, registrele, înregistrările și alte documente, în formă scrisă sau electronică, pentru a verifica respectarea de către Depozitarul central a prevederilor legale în vigoare sau a actelor normative ale BNM.</w:t>
      </w:r>
    </w:p>
    <w:p w14:paraId="09D89216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15.</w:t>
      </w:r>
      <w:r w:rsidRPr="00C438F8">
        <w:rPr>
          <w:rFonts w:ascii="PermianSerifTypeface" w:hAnsi="PermianSerifTypeface"/>
        </w:rPr>
        <w:t xml:space="preserve"> În scopul exercitării atribuțiilor sale, BNM este în drept să solicite Depozitarului central să prezinte informații și date, iar Depozitarul central este obligat să le prezinte în termenul stabilit de BNM.</w:t>
      </w:r>
    </w:p>
    <w:p w14:paraId="5469124F" w14:textId="77777777" w:rsidR="00C438F8" w:rsidRDefault="00C438F8" w:rsidP="00C35AA5">
      <w:pPr>
        <w:spacing w:line="240" w:lineRule="auto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 </w:t>
      </w:r>
    </w:p>
    <w:p w14:paraId="71AA2EEE" w14:textId="77777777" w:rsidR="00B43E20" w:rsidRDefault="00B43E20" w:rsidP="00C35AA5">
      <w:pPr>
        <w:spacing w:line="240" w:lineRule="auto"/>
        <w:rPr>
          <w:rFonts w:ascii="PermianSerifTypeface" w:hAnsi="PermianSerifTypeface"/>
        </w:rPr>
      </w:pPr>
    </w:p>
    <w:p w14:paraId="5DF04301" w14:textId="55D064CC" w:rsidR="00C438F8" w:rsidRPr="00C438F8" w:rsidRDefault="00C438F8" w:rsidP="00C35AA5">
      <w:pPr>
        <w:spacing w:line="240" w:lineRule="auto"/>
        <w:jc w:val="center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lastRenderedPageBreak/>
        <w:t>CAPITOLUL IV</w:t>
      </w:r>
      <w:r w:rsidRPr="00C438F8">
        <w:rPr>
          <w:rFonts w:ascii="PermianSerifTypeface" w:hAnsi="PermianSerifTypeface"/>
          <w:b/>
          <w:bCs/>
        </w:rPr>
        <w:br/>
      </w:r>
      <w:r w:rsidR="00C35AA5" w:rsidRPr="00C35AA5">
        <w:rPr>
          <w:rFonts w:ascii="PermianSerifTypeface" w:hAnsi="PermianSerifTypeface"/>
          <w:b/>
          <w:bCs/>
        </w:rPr>
        <w:t>MĂSURI DE REMEDIERE. SANCȚIUNI.</w:t>
      </w:r>
    </w:p>
    <w:p w14:paraId="65476330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16.</w:t>
      </w:r>
      <w:r w:rsidRPr="00C438F8">
        <w:rPr>
          <w:rFonts w:ascii="PermianSerifTypeface" w:hAnsi="PermianSerifTypeface"/>
        </w:rPr>
        <w:t xml:space="preserve"> BNM este în drept să ceară Depozitarului central, în cazul neîndeplinirii de către acesta a prevederilor legale în vigoare sau a actelor normative ale BNM, să întreprindă acțiunile sau măsurile necesare pentru redresarea situației.</w:t>
      </w:r>
    </w:p>
    <w:p w14:paraId="7EB522DE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17.</w:t>
      </w:r>
      <w:r w:rsidRPr="00C438F8">
        <w:rPr>
          <w:rFonts w:ascii="PermianSerifTypeface" w:hAnsi="PermianSerifTypeface"/>
        </w:rPr>
        <w:t xml:space="preserve"> La solicitarea BNM, Depozitarul central este obligat să aprobe și să prezinte BNM un plan de redresare, pentru a asigura continuitatea activității Depozitarului central. Termenul, forma de prezentare, cerințele minime față de conținutul planului de redresare vor fi specificate în solicitarea BNM.</w:t>
      </w:r>
    </w:p>
    <w:p w14:paraId="06079736" w14:textId="77777777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18.</w:t>
      </w:r>
      <w:r w:rsidRPr="00C438F8">
        <w:rPr>
          <w:rFonts w:ascii="PermianSerifTypeface" w:hAnsi="PermianSerifTypeface"/>
        </w:rPr>
        <w:t xml:space="preserve"> În exercitarea atribuțiilor sale prevăzute de Legea nr. 234/2016 și prezentul Regulament, BNM este în drept să adreseze recomandări Depozitarului central, participanților sau entității către care au fost </w:t>
      </w:r>
      <w:proofErr w:type="spellStart"/>
      <w:r w:rsidRPr="00C438F8">
        <w:rPr>
          <w:rFonts w:ascii="PermianSerifTypeface" w:hAnsi="PermianSerifTypeface"/>
        </w:rPr>
        <w:t>externalizate</w:t>
      </w:r>
      <w:proofErr w:type="spellEnd"/>
      <w:r w:rsidRPr="00C438F8">
        <w:rPr>
          <w:rFonts w:ascii="PermianSerifTypeface" w:hAnsi="PermianSerifTypeface"/>
        </w:rPr>
        <w:t xml:space="preserve"> activitățile și serviciile Depozitarului central, în scopul de a solicita respectarea prevederilor legale în vigoare sau a actelor normative ale BNM.</w:t>
      </w:r>
    </w:p>
    <w:p w14:paraId="3B286EF7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19.</w:t>
      </w:r>
      <w:r w:rsidRPr="00C438F8">
        <w:rPr>
          <w:rFonts w:ascii="PermianSerifTypeface" w:hAnsi="PermianSerifTypeface"/>
        </w:rPr>
        <w:t xml:space="preserve"> BNM este în drept să aplice Depozitarului central, participanților săi sau entității către care au fost </w:t>
      </w:r>
      <w:proofErr w:type="spellStart"/>
      <w:r w:rsidRPr="00C438F8">
        <w:rPr>
          <w:rFonts w:ascii="PermianSerifTypeface" w:hAnsi="PermianSerifTypeface"/>
        </w:rPr>
        <w:t>externalizate</w:t>
      </w:r>
      <w:proofErr w:type="spellEnd"/>
      <w:r w:rsidRPr="00C438F8">
        <w:rPr>
          <w:rFonts w:ascii="PermianSerifTypeface" w:hAnsi="PermianSerifTypeface"/>
        </w:rPr>
        <w:t xml:space="preserve"> activitățile și serviciile Depozitarului central următoarele sancțiuni în caz de încălcare a prevederilor legale în vigoare sau a actelor normative ale BNM:</w:t>
      </w:r>
    </w:p>
    <w:p w14:paraId="17ED20B3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1) avertisment;</w:t>
      </w:r>
    </w:p>
    <w:p w14:paraId="25F04524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2) mustrare;</w:t>
      </w:r>
    </w:p>
    <w:p w14:paraId="39A7459D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3) interdicție de a efectua tranzacții sau instrucțiuni specifice;</w:t>
      </w:r>
    </w:p>
    <w:p w14:paraId="35CF2BDF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4) interdicție de a se angaja în anumite activități;</w:t>
      </w:r>
    </w:p>
    <w:p w14:paraId="79753E9E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5) destituire sau suspendare a unei persoane din funcția deținută;</w:t>
      </w:r>
    </w:p>
    <w:p w14:paraId="6C40B022" w14:textId="215949E9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6) interdicție de a presta unele servicii.</w:t>
      </w:r>
    </w:p>
    <w:p w14:paraId="234EE2EB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  <w:b/>
          <w:bCs/>
        </w:rPr>
        <w:t>20.</w:t>
      </w:r>
      <w:r w:rsidRPr="00C438F8">
        <w:rPr>
          <w:rFonts w:ascii="PermianSerifTypeface" w:hAnsi="PermianSerifTypeface"/>
        </w:rPr>
        <w:t xml:space="preserve"> BNM va lua în considerare toate circumstanțele relevante atunci când va aplica astfel de sancțiuni, inclusiv, după caz:</w:t>
      </w:r>
    </w:p>
    <w:p w14:paraId="0A4A2F92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1) gravitatea și durata încălcării, prin stabilirea circumstanțelor agravante sau atenuante;</w:t>
      </w:r>
    </w:p>
    <w:p w14:paraId="289366F3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2) gradul de responsabilitate al persoanei care a admis încălcarea;</w:t>
      </w:r>
    </w:p>
    <w:p w14:paraId="51DFACDE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3) capacitatea financiară a persoanei care a admis încălcarea;</w:t>
      </w:r>
    </w:p>
    <w:p w14:paraId="1B53BA79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4) importanța profiturilor obținute, a pierderilor evitate de către persoana care a admis încălcarea sau pierderile pentru terți derivate din încălcare, în măsura în care acestea pot fi determinate;</w:t>
      </w:r>
    </w:p>
    <w:p w14:paraId="426E5B3F" w14:textId="77777777" w:rsidR="00C35AA5" w:rsidRPr="00C35AA5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5) nivelul de cooperare al persoanei care a admis încălcarea;</w:t>
      </w:r>
    </w:p>
    <w:p w14:paraId="08B1E711" w14:textId="14B016FB" w:rsidR="00C438F8" w:rsidRPr="00C438F8" w:rsidRDefault="00C438F8" w:rsidP="00C35AA5">
      <w:pPr>
        <w:spacing w:after="0" w:line="240" w:lineRule="auto"/>
        <w:ind w:firstLine="708"/>
        <w:jc w:val="both"/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6) încălcările anterioare ale persoanei care a admis încălcarea.</w:t>
      </w:r>
    </w:p>
    <w:p w14:paraId="5F5613F8" w14:textId="77777777" w:rsidR="007075E0" w:rsidRPr="00C35AA5" w:rsidRDefault="007075E0">
      <w:pPr>
        <w:rPr>
          <w:rFonts w:ascii="PermianSerifTypeface" w:hAnsi="PermianSerifTypeface"/>
        </w:rPr>
      </w:pPr>
    </w:p>
    <w:sectPr w:rsidR="007075E0" w:rsidRPr="00C3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F8"/>
    <w:rsid w:val="0009418E"/>
    <w:rsid w:val="000E04F9"/>
    <w:rsid w:val="002F5E25"/>
    <w:rsid w:val="005E291C"/>
    <w:rsid w:val="00701536"/>
    <w:rsid w:val="007075E0"/>
    <w:rsid w:val="00AB0342"/>
    <w:rsid w:val="00B43E20"/>
    <w:rsid w:val="00C35AA5"/>
    <w:rsid w:val="00C438F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3575"/>
  <w15:chartTrackingRefBased/>
  <w15:docId w15:val="{A60525B8-6F46-4D1A-B5DB-219A3228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F8"/>
    <w:rPr>
      <w:b/>
      <w:bCs/>
      <w:smallCaps/>
      <w:color w:val="0F4761" w:themeColor="accent1" w:themeShade="BF"/>
      <w:spacing w:val="5"/>
    </w:rPr>
  </w:style>
  <w:style w:type="character" w:customStyle="1" w:styleId="docheader">
    <w:name w:val="doc_header"/>
    <w:basedOn w:val="DefaultParagraphFont"/>
    <w:rsid w:val="00C438F8"/>
  </w:style>
  <w:style w:type="paragraph" w:customStyle="1" w:styleId="right">
    <w:name w:val="right"/>
    <w:basedOn w:val="Normal"/>
    <w:rsid w:val="00C4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43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1492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2025-10-27T13:39:00Z</dcterms:created>
  <dcterms:modified xsi:type="dcterms:W3CDTF">2025-10-27T14:15:00Z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2025-10-27T14:00:58Z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ede5b45b-22e1-4fa8-bc6a-21af5dd5f370</vt:lpwstr>
  </property>
  <property fmtid="{D5CDD505-2E9C-101B-9397-08002B2CF9AE}" pid="8" name="MSIP_Label_38962dcf-d39f-4edc-a396-338a56ba9170_ContentBits">
    <vt:lpwstr>0</vt:lpwstr>
  </property>
</Properties>
</file>