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F7FA" w14:textId="77777777" w:rsidR="00C438F8" w:rsidRPr="00C35AA5" w:rsidRDefault="00C438F8" w:rsidP="00C438F8">
      <w:pPr>
        <w:jc w:val="center"/>
        <w:rPr>
          <w:rStyle w:val="docheader"/>
          <w:rFonts w:ascii="PermianSerifTypeface" w:hAnsi="PermianSerifTypeface"/>
          <w:b/>
          <w:color w:val="000000"/>
          <w:lang w:val="ro-RO"/>
        </w:rPr>
      </w:pPr>
    </w:p>
    <w:p w14:paraId="300E7244" w14:textId="77777777" w:rsidR="004D5F46" w:rsidRPr="004D5F46" w:rsidRDefault="004D5F46" w:rsidP="004D5F46">
      <w:pPr>
        <w:spacing w:line="240" w:lineRule="auto"/>
        <w:jc w:val="center"/>
        <w:rPr>
          <w:rFonts w:ascii="PermianSerifTypeface" w:hAnsi="PermianSerifTypeface"/>
          <w:b/>
          <w:bCs/>
          <w:color w:val="000000"/>
          <w:lang w:val="ru-RU"/>
        </w:rPr>
      </w:pPr>
      <w:r w:rsidRPr="004D5F46">
        <w:rPr>
          <w:rFonts w:ascii="PermianSerifTypeface" w:hAnsi="PermianSerifTypeface"/>
          <w:b/>
          <w:bCs/>
          <w:color w:val="000000"/>
          <w:lang w:val="ru-RU"/>
        </w:rPr>
        <w:t>РЕГЛАМЕНТ</w:t>
      </w:r>
      <w:r w:rsidRPr="004D5F46">
        <w:rPr>
          <w:rFonts w:ascii="PermianSerifTypeface" w:hAnsi="PermianSerifTypeface"/>
          <w:b/>
          <w:bCs/>
          <w:color w:val="000000"/>
          <w:lang w:val="ru-RU"/>
        </w:rPr>
        <w:br/>
        <w:t>о надзоре Единого центрального депозитария ценных бумаг</w:t>
      </w:r>
    </w:p>
    <w:p w14:paraId="220459FC" w14:textId="5BDF3BB9" w:rsidR="004D5F46" w:rsidRPr="001B50AE" w:rsidRDefault="004D5F46" w:rsidP="001B50AE">
      <w:pPr>
        <w:spacing w:line="240" w:lineRule="auto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Cs/>
          <w:i/>
          <w:sz w:val="22"/>
          <w:szCs w:val="22"/>
          <w:lang w:val="ru-RU"/>
        </w:rPr>
        <w:t>Опубликован в</w:t>
      </w:r>
      <w:r w:rsidRPr="004D5F46">
        <w:rPr>
          <w:rFonts w:ascii="PermianSerifTypeface" w:hAnsi="PermianSerifTypeface"/>
          <w:bCs/>
          <w:i/>
          <w:sz w:val="22"/>
          <w:szCs w:val="22"/>
          <w:lang w:val="ru-RU"/>
        </w:rPr>
        <w:t xml:space="preserve"> Официальном мониторе Республики Молдова</w:t>
      </w:r>
      <w:r w:rsidRPr="004D5F46">
        <w:rPr>
          <w:rFonts w:ascii="PermianSerifTypeface" w:hAnsi="PermianSerifTypeface"/>
          <w:bCs/>
          <w:i/>
          <w:sz w:val="22"/>
          <w:szCs w:val="22"/>
          <w:lang w:val="ru-RU"/>
        </w:rPr>
        <w:t xml:space="preserve"> </w:t>
      </w:r>
      <w:proofErr w:type="gramStart"/>
      <w:r w:rsidRPr="004D5F46">
        <w:rPr>
          <w:rFonts w:ascii="PermianSerifTypeface" w:eastAsia="Times New Roman" w:hAnsi="PermianSerifTypeface"/>
          <w:bCs/>
          <w:i/>
          <w:iCs/>
          <w:sz w:val="22"/>
          <w:szCs w:val="22"/>
          <w:lang w:val="ru-RU"/>
        </w:rPr>
        <w:t>№ 277-284</w:t>
      </w:r>
      <w:proofErr w:type="gramEnd"/>
      <w:r w:rsidRPr="004D5F46">
        <w:rPr>
          <w:rFonts w:ascii="PermianSerifTypeface" w:eastAsia="Times New Roman" w:hAnsi="PermianSerifTypeface"/>
          <w:bCs/>
          <w:i/>
          <w:iCs/>
          <w:sz w:val="22"/>
          <w:szCs w:val="22"/>
          <w:lang w:val="ru-RU"/>
        </w:rPr>
        <w:t xml:space="preserve"> ст. 1169 от 27.07.2018</w:t>
      </w:r>
    </w:p>
    <w:p w14:paraId="0106E7F5" w14:textId="77777777" w:rsidR="004D5F46" w:rsidRPr="00772830" w:rsidRDefault="00C438F8" w:rsidP="004D5F46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</w:pPr>
      <w:r w:rsidRPr="00C438F8">
        <w:rPr>
          <w:rFonts w:ascii="PermianSerifTypeface" w:hAnsi="PermianSerifTypeface"/>
        </w:rPr>
        <w:t> </w:t>
      </w:r>
      <w:r w:rsidR="004D5F46"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Изменен:</w:t>
      </w:r>
    </w:p>
    <w:p w14:paraId="00FD5D0D" w14:textId="2A5E0572" w:rsidR="004D5F46" w:rsidRPr="00DB69DA" w:rsidRDefault="004D5F46" w:rsidP="004D5F46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 xml:space="preserve">ПИК НБМ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229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02.10.2025,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ОМ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РМ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n</w:t>
      </w:r>
      <w:r w:rsidRPr="00772830">
        <w:rPr>
          <w:rFonts w:ascii="PT Serif" w:hAnsi="PT Serif"/>
          <w:i/>
          <w:iCs/>
          <w:color w:val="56534F"/>
          <w:shd w:val="clear" w:color="auto" w:fill="FAFAFA"/>
          <w:lang w:val="ru-RU"/>
        </w:rPr>
        <w:t xml:space="preserve">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523-525/132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09.10. 2025,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в силу с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09.10.2025</w:t>
      </w:r>
    </w:p>
    <w:p w14:paraId="2FA53B56" w14:textId="12E7744C" w:rsidR="00C35AA5" w:rsidRPr="00C438F8" w:rsidRDefault="00C438F8" w:rsidP="004D5F46">
      <w:pPr>
        <w:rPr>
          <w:rFonts w:ascii="PermianSerifTypeface" w:hAnsi="PermianSerifTypeface"/>
        </w:rPr>
      </w:pPr>
      <w:r w:rsidRPr="00C438F8">
        <w:rPr>
          <w:rFonts w:ascii="PermianSerifTypeface" w:hAnsi="PermianSerifTypeface"/>
        </w:rPr>
        <w:t> </w:t>
      </w:r>
    </w:p>
    <w:p w14:paraId="2D077FAF" w14:textId="77777777" w:rsidR="004D5F46" w:rsidRPr="00064CD6" w:rsidRDefault="004D5F46" w:rsidP="004D5F46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lang w:val="ru-RU"/>
        </w:rPr>
      </w:pPr>
      <w:r w:rsidRPr="00303119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УТВЕРЖДЕННЫЙ</w:t>
      </w:r>
      <w:r w:rsidRPr="00064CD6">
        <w:rPr>
          <w:rFonts w:ascii="PermianSerifTypeface" w:hAnsi="PermianSerifTypeface"/>
          <w:lang w:val="ru-RU"/>
        </w:rPr>
        <w:t xml:space="preserve"> </w:t>
      </w:r>
    </w:p>
    <w:p w14:paraId="13BA25A2" w14:textId="77777777" w:rsidR="004D5F46" w:rsidRPr="00064CD6" w:rsidRDefault="004D5F46" w:rsidP="004D5F46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lang w:val="ru-RU"/>
        </w:rPr>
      </w:pPr>
      <w:r w:rsidRPr="00064CD6">
        <w:rPr>
          <w:rFonts w:ascii="PermianSerifTypeface" w:hAnsi="PermianSerifTypeface"/>
          <w:lang w:val="ru-RU"/>
        </w:rPr>
        <w:t>Постановлением Исполнительного комитета</w:t>
      </w:r>
    </w:p>
    <w:p w14:paraId="67426F26" w14:textId="77777777" w:rsidR="004D5F46" w:rsidRPr="00064CD6" w:rsidRDefault="004D5F46" w:rsidP="004D5F46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lang w:val="ro-RO"/>
        </w:rPr>
      </w:pPr>
      <w:r w:rsidRPr="00064CD6">
        <w:rPr>
          <w:rFonts w:ascii="PermianSerifTypeface" w:hAnsi="PermianSerifTypeface"/>
          <w:lang w:val="ru-RU"/>
        </w:rPr>
        <w:t xml:space="preserve">Национального банка Молдовы </w:t>
      </w:r>
    </w:p>
    <w:p w14:paraId="7AAEE097" w14:textId="3E3F1F77" w:rsidR="004D5F46" w:rsidRPr="004D5F46" w:rsidRDefault="004D5F46" w:rsidP="004D5F46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 xml:space="preserve">№ </w:t>
      </w:r>
      <w:r w:rsidRPr="004D5F46">
        <w:rPr>
          <w:rFonts w:ascii="PermianSerifTypeface" w:hAnsi="PermianSerifTypeface"/>
          <w:lang w:val="ru-RU"/>
        </w:rPr>
        <w:t>158</w:t>
      </w:r>
      <w:r w:rsidRPr="004D5F46">
        <w:rPr>
          <w:rFonts w:ascii="PermianSerifTypeface" w:hAnsi="PermianSerifTypeface"/>
          <w:lang w:val="ro-RO"/>
        </w:rPr>
        <w:t xml:space="preserve"> </w:t>
      </w:r>
      <w:r w:rsidRPr="004D5F46">
        <w:rPr>
          <w:rFonts w:ascii="PermianSerifTypeface" w:hAnsi="PermianSerifTypeface"/>
          <w:lang w:val="ru-RU"/>
        </w:rPr>
        <w:t>от</w:t>
      </w:r>
      <w:r w:rsidRPr="004D5F46">
        <w:rPr>
          <w:rFonts w:ascii="PermianSerifTypeface" w:hAnsi="PermianSerifTypeface"/>
          <w:lang w:val="ro-RO"/>
        </w:rPr>
        <w:t xml:space="preserve"> </w:t>
      </w:r>
      <w:r w:rsidRPr="004D5F46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>11</w:t>
      </w:r>
      <w:r w:rsidRPr="004D5F46">
        <w:rPr>
          <w:rStyle w:val="Strong"/>
          <w:rFonts w:ascii="PermianSerifTypeface" w:hAnsi="PermianSerifTypeface"/>
          <w:b w:val="0"/>
          <w:bCs w:val="0"/>
          <w:color w:val="000000"/>
          <w:sz w:val="22"/>
          <w:szCs w:val="22"/>
          <w:lang w:val="ru-RU"/>
        </w:rPr>
        <w:t xml:space="preserve"> июля 2018</w:t>
      </w:r>
    </w:p>
    <w:p w14:paraId="21EAEE41" w14:textId="646D758B" w:rsidR="004D5F46" w:rsidRPr="00303119" w:rsidRDefault="004D5F46" w:rsidP="004D5F46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В действии: с</w:t>
      </w:r>
      <w:r w:rsidRPr="00303119">
        <w:rPr>
          <w:rFonts w:ascii="PermianSerifTypeface" w:hAnsi="PermianSerifTypeface"/>
          <w:color w:val="000000"/>
          <w:sz w:val="22"/>
          <w:szCs w:val="22"/>
        </w:rPr>
        <w:t> 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27 июля 2018</w:t>
      </w:r>
    </w:p>
    <w:p w14:paraId="71E3036E" w14:textId="77777777" w:rsidR="004D5F46" w:rsidRPr="001B50AE" w:rsidRDefault="004D5F46" w:rsidP="001B50AE">
      <w:pPr>
        <w:tabs>
          <w:tab w:val="left" w:pos="426"/>
          <w:tab w:val="left" w:pos="709"/>
          <w:tab w:val="left" w:pos="851"/>
        </w:tabs>
        <w:spacing w:after="0" w:line="240" w:lineRule="auto"/>
        <w:rPr>
          <w:rFonts w:ascii="PermianSerifTypeface" w:hAnsi="PermianSerifTypeface" w:cs="Arial"/>
          <w:lang w:val="ru-RU"/>
        </w:rPr>
      </w:pPr>
    </w:p>
    <w:p w14:paraId="471DA892" w14:textId="3E30F470" w:rsidR="00C35AA5" w:rsidRPr="001A758F" w:rsidRDefault="00C35AA5" w:rsidP="00C438F8">
      <w:pPr>
        <w:rPr>
          <w:rFonts w:ascii="PermianSerifTypeface" w:hAnsi="PermianSerifTypeface"/>
          <w:lang w:val="ru-RU"/>
        </w:rPr>
      </w:pPr>
    </w:p>
    <w:p w14:paraId="67641AFD" w14:textId="77777777" w:rsidR="004D5F46" w:rsidRPr="00F80FDB" w:rsidRDefault="004D5F46" w:rsidP="00F80FDB">
      <w:pPr>
        <w:spacing w:after="0"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ГЛАВА I</w:t>
      </w:r>
    </w:p>
    <w:p w14:paraId="7EE2BC3D" w14:textId="785EB97C" w:rsidR="00F80FDB" w:rsidRPr="004D5F46" w:rsidRDefault="004D5F46" w:rsidP="00C96EC7">
      <w:pPr>
        <w:spacing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F80FDB">
        <w:rPr>
          <w:rFonts w:ascii="PermianSerifTypeface" w:hAnsi="PermianSerifTypeface"/>
          <w:b/>
          <w:bCs/>
          <w:lang w:val="ru-RU"/>
        </w:rPr>
        <w:t>ОБЩИЕ ПОЛОЖЕНИЯ</w:t>
      </w:r>
    </w:p>
    <w:p w14:paraId="33625791" w14:textId="60FF582D" w:rsidR="004D5F46" w:rsidRPr="00F80FDB" w:rsidRDefault="00C438F8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F80FDB">
        <w:rPr>
          <w:rFonts w:ascii="PermianSerifTypeface" w:hAnsi="PermianSerifTypeface"/>
          <w:b/>
          <w:bCs/>
          <w:lang w:val="ru-RU"/>
        </w:rPr>
        <w:t>1.</w:t>
      </w:r>
      <w:r w:rsidRPr="00F80FDB">
        <w:rPr>
          <w:rFonts w:ascii="PermianSerifTypeface" w:hAnsi="PermianSerifTypeface"/>
          <w:lang w:val="ru-RU"/>
        </w:rPr>
        <w:t xml:space="preserve"> </w:t>
      </w:r>
      <w:r w:rsidR="004D5F46" w:rsidRPr="00F80FDB">
        <w:rPr>
          <w:rFonts w:ascii="PermianSerifTypeface" w:hAnsi="PermianSerifTypeface"/>
          <w:lang w:val="ru-RU"/>
        </w:rPr>
        <w:t>Настоящий Регламент разработан на основании п. f) части (1) ст.5, части (1) ст. 11, п. с) части (1) ст. 27 и ст. 49</w:t>
      </w:r>
      <w:r w:rsidR="004D5F46" w:rsidRPr="00F80FDB">
        <w:rPr>
          <w:rFonts w:ascii="PermianSerifTypeface" w:hAnsi="PermianSerifTypeface"/>
          <w:vertAlign w:val="superscript"/>
          <w:lang w:val="ru-RU"/>
        </w:rPr>
        <w:t>2</w:t>
      </w:r>
      <w:r w:rsidR="004D5F46" w:rsidRPr="00F80FDB">
        <w:rPr>
          <w:rFonts w:ascii="PermianSerifTypeface" w:hAnsi="PermianSerifTypeface"/>
          <w:lang w:val="ru-RU"/>
        </w:rPr>
        <w:t> Закона о Национальном банке Молдовы № 548-XIII от 21.07.1995 г. и ст. 17, 23-24 Закона об Едином центральном депозитарии ценных бумаг № 234 от 3.10.2016 (далее Закон 234/2016).</w:t>
      </w:r>
    </w:p>
    <w:p w14:paraId="5EC63522" w14:textId="77777777" w:rsidR="004D5F46" w:rsidRPr="004D5F46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2.</w:t>
      </w:r>
      <w:r w:rsidRPr="004D5F46">
        <w:rPr>
          <w:rFonts w:ascii="PermianSerifTypeface" w:hAnsi="PermianSerifTypeface"/>
          <w:lang w:val="ru-RU"/>
        </w:rPr>
        <w:t xml:space="preserve"> Надзор за деятельностью Единого центрального депозитария ценных бумаг (далее Центральный депозитарий) осуществляется Национальным банком Молдовы на основании отчетности, информации, представленной Центральным депозитарием согласно Закону 234/2016, а также настоящему Регламенту и/или посредством проверок, осуществленных в местонахождении Центрального депозитария.</w:t>
      </w:r>
    </w:p>
    <w:p w14:paraId="74F142EC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3.</w:t>
      </w:r>
      <w:r w:rsidRPr="004D5F46">
        <w:rPr>
          <w:rFonts w:ascii="PermianSerifTypeface" w:hAnsi="PermianSerifTypeface"/>
          <w:lang w:val="ru-RU"/>
        </w:rPr>
        <w:t xml:space="preserve"> Понятия и выражения, используемые в настоящем регламенте, имеют значения, предусмотренные в Законе о Национальном банке Молдовы № 548-XIII от 21.07.1995, Законе 234/2016, Законе об окончательности расчетов в платежных системах и системах расчетов по финансовым инструментам № 183 от 22.07.2012.</w:t>
      </w:r>
    </w:p>
    <w:p w14:paraId="66A15550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 </w:t>
      </w:r>
    </w:p>
    <w:p w14:paraId="27C4F1A5" w14:textId="77777777" w:rsidR="00F80FDB" w:rsidRDefault="004D5F46" w:rsidP="00F80FDB">
      <w:pPr>
        <w:spacing w:after="0"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ГЛАВА II</w:t>
      </w:r>
    </w:p>
    <w:p w14:paraId="78D2BA1A" w14:textId="72A90DEE" w:rsidR="00F80FDB" w:rsidRPr="004D5F46" w:rsidRDefault="00F80FDB" w:rsidP="00C96EC7">
      <w:pPr>
        <w:spacing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ОБЯЗАТЕЛЬСТВА ЦЕНТРАЛЬНОГО ДЕПОЗИТАРИЯ</w:t>
      </w:r>
    </w:p>
    <w:p w14:paraId="66687922" w14:textId="77777777" w:rsidR="00F80FDB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4.</w:t>
      </w:r>
      <w:r w:rsidRPr="004D5F46">
        <w:rPr>
          <w:rFonts w:ascii="PermianSerifTypeface" w:hAnsi="PermianSerifTypeface"/>
          <w:lang w:val="ru-RU"/>
        </w:rPr>
        <w:t xml:space="preserve"> Центральный депозитарий передает ежедневно (но не позднее 10.00) Национальному банку Молдовы (далее НБМ):</w:t>
      </w:r>
    </w:p>
    <w:p w14:paraId="33AD647D" w14:textId="77777777" w:rsidR="00F80FDB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 xml:space="preserve">1) отчеты и информацию о деятельности по взаимозачету (клирингу) и расчету на предыдущий операционный день в целях выполнения НБМ </w:t>
      </w:r>
      <w:r w:rsidRPr="004D5F46">
        <w:rPr>
          <w:rFonts w:ascii="PermianSerifTypeface" w:hAnsi="PermianSerifTypeface"/>
          <w:lang w:val="ru-RU"/>
        </w:rPr>
        <w:lastRenderedPageBreak/>
        <w:t>полномочий по оценке системного риска, связанного с расчетными и клиринговыми системами   системного значения;</w:t>
      </w:r>
    </w:p>
    <w:p w14:paraId="40DE4E23" w14:textId="6F47E1C6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отчет об операционных инцидентах, которые имели место в предыдущий операционный день и повлияли на надлежащее предоставление базовых услуг, меры, предпринятые для их ликвидации, и их результаты.</w:t>
      </w:r>
    </w:p>
    <w:p w14:paraId="3383D696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5.</w:t>
      </w:r>
      <w:r w:rsidRPr="004D5F46">
        <w:rPr>
          <w:rFonts w:ascii="PermianSerifTypeface" w:hAnsi="PermianSerifTypeface"/>
          <w:lang w:val="ru-RU"/>
        </w:rPr>
        <w:t xml:space="preserve"> Центральный депозитарий сразу уведомляет НБМ, но не позднее следующего рабочего дня со дня наступления события, о следующих ситуациях:</w:t>
      </w:r>
    </w:p>
    <w:p w14:paraId="4D37A5E5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1) нарушение регламентов и процедур Центрального депозитария его Участниками, а также предпринятые/утвержденные меры по улучшению;</w:t>
      </w:r>
    </w:p>
    <w:p w14:paraId="394E3AC0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отчет о любых операционных изменениях, затрагивающих деятельность или взаимосвязи Центрального депозитария;</w:t>
      </w:r>
    </w:p>
    <w:p w14:paraId="2B687C31" w14:textId="4E309844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3) случаи выявления конфликта интересов в течение рассматриваемого периода, в том числе описание способа, которым они были разрешены.</w:t>
      </w:r>
    </w:p>
    <w:p w14:paraId="627137B8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6.</w:t>
      </w:r>
      <w:r w:rsidRPr="004D5F46">
        <w:rPr>
          <w:rFonts w:ascii="PermianSerifTypeface" w:hAnsi="PermianSerifTypeface"/>
          <w:lang w:val="ru-RU"/>
        </w:rPr>
        <w:t xml:space="preserve"> По требованию НБМ Центральный депозитарий передает протоколы заседаний общих собраний акционеров.</w:t>
      </w:r>
    </w:p>
    <w:p w14:paraId="1E418B3B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7.</w:t>
      </w:r>
      <w:r w:rsidRPr="004D5F46">
        <w:rPr>
          <w:rFonts w:ascii="PermianSerifTypeface" w:hAnsi="PermianSerifTypeface"/>
          <w:lang w:val="ru-RU"/>
        </w:rPr>
        <w:t xml:space="preserve"> Центральный депозитарий передает НБМ ежеквартально не позднее 20 рабочих дней после окончания квартала следующую информацию:</w:t>
      </w:r>
    </w:p>
    <w:p w14:paraId="305167C2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1) финансовые отчеты на предыдущий квартал;</w:t>
      </w:r>
    </w:p>
    <w:p w14:paraId="350BB2FF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сведения о количестве и типах участников, эмитентах и их счетах;</w:t>
      </w:r>
    </w:p>
    <w:p w14:paraId="2C737878" w14:textId="12006ABE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3) номер, тип и количество ценных бумаг, находящихся в собственности и/или обрабатываемых в Центральном депозитарии.</w:t>
      </w:r>
    </w:p>
    <w:p w14:paraId="191E7045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8.</w:t>
      </w:r>
      <w:r w:rsidRPr="004D5F46">
        <w:rPr>
          <w:rFonts w:ascii="PermianSerifTypeface" w:hAnsi="PermianSerifTypeface"/>
          <w:lang w:val="ru-RU"/>
        </w:rPr>
        <w:t xml:space="preserve"> Центральный депозитарий передает НБМ ежегодно до 30 апреля следующую информацию и документы:</w:t>
      </w:r>
    </w:p>
    <w:p w14:paraId="591C1C03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1) отчет о деятельности Центрального депозитария, содержащий как минимум:</w:t>
      </w:r>
    </w:p>
    <w:p w14:paraId="4B7275B3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a) организационную и функциональную структуру;</w:t>
      </w:r>
    </w:p>
    <w:p w14:paraId="2556D0E8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b) аутсорсинг видов деятельности и услуг;</w:t>
      </w:r>
    </w:p>
    <w:p w14:paraId="3E5E0805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c) систему внутреннего контроля;</w:t>
      </w:r>
    </w:p>
    <w:p w14:paraId="58D6BDC8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d) меры, предпринятые для обеспечения соблюдения норм, хранения счетов, регистрации переводов прав собственности, а также меры, предпринятые в целях борьбы с отмыванием денег и финансированием терроризма;</w:t>
      </w:r>
    </w:p>
    <w:p w14:paraId="2F6E15A2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e) менеджмент рисков, которым он может быть подвержен;</w:t>
      </w:r>
    </w:p>
    <w:p w14:paraId="3674E3F5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финансовую отчетность Центрального депозитария, подтвержденную аудитом;</w:t>
      </w:r>
    </w:p>
    <w:p w14:paraId="1F74FEF7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3) сведения о гражданских, административных процессах или любых других судебных или внесудебных процедурах, в которые вовлечены Центральный депозитарий, организация, которой были переданы на аутсорсинг деятельность или услуги Центрального депозитария или инфраструктурные организации рынка капитала, с которыми он взаимодействует;</w:t>
      </w:r>
    </w:p>
    <w:p w14:paraId="345E06F2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4) сведения о выявлении критических операций Центрального депозитария, любые существенные изменения, внесенные в план восстановления, результаты стресс-сценариев, факторы и инструменты восстановления Центрального депозитария;</w:t>
      </w:r>
    </w:p>
    <w:p w14:paraId="7EDD2765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5) сведения об официальных жалобах, полученных Центральным депозитарием в течение рассматриваемого периода;</w:t>
      </w:r>
    </w:p>
    <w:p w14:paraId="7617309E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 xml:space="preserve">6) сведения о внутреннем контроле и проверках, проведенных Центральным </w:t>
      </w:r>
      <w:r w:rsidRPr="004D5F46">
        <w:rPr>
          <w:rFonts w:ascii="PermianSerifTypeface" w:hAnsi="PermianSerifTypeface"/>
          <w:lang w:val="ru-RU"/>
        </w:rPr>
        <w:lastRenderedPageBreak/>
        <w:t>депозитарием в течение рассматриваемого периода;</w:t>
      </w:r>
    </w:p>
    <w:p w14:paraId="637EE171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7) сведения о числе, типе и степени проблем по сверке, установленных Центральным депозитарием, как внутренних, так и по отношению к участникам, регулируемым рынкам или многосторонним торговым системам;</w:t>
      </w:r>
    </w:p>
    <w:p w14:paraId="75638B4A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8) структура акционеров Центрального депозитария с указанием для каждого акционера о количестве и типе акций, находящихся в собственности, а также процент акций с правом голоса, находящихся в собственности;</w:t>
      </w:r>
    </w:p>
    <w:p w14:paraId="3516C0EA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9) перечень соглашений (договоров), заключенных Центральным депозитарием. Сведения о соглашениях (договорах) должны содержать как минимум: номер и дату, субъект, с которым были заключены соглашения (договора), предмет, сроки и условия поставки, стоимость и условия оплаты;</w:t>
      </w:r>
    </w:p>
    <w:p w14:paraId="64E15946" w14:textId="613E7B8D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10) все решения общих собраний акционеров, Надзорного совета и Исполнительного комитета о деятельности по депонированию, реестру, компенсированию и расчету ценных бумаг.</w:t>
      </w:r>
    </w:p>
    <w:p w14:paraId="342ACFC9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9.</w:t>
      </w:r>
      <w:r w:rsidRPr="004D5F46">
        <w:rPr>
          <w:rFonts w:ascii="PermianSerifTypeface" w:hAnsi="PermianSerifTypeface"/>
          <w:lang w:val="ru-RU"/>
        </w:rPr>
        <w:t xml:space="preserve"> Центральный депозитарий не менее одного раза в год обязан тестировать меры по обеспечению безопасности и непрерывности систем и инфраструктуры ИТ, внедренных мер по непрерывности услуг и систем инфраструктуры </w:t>
      </w:r>
      <w:proofErr w:type="spellStart"/>
      <w:r w:rsidRPr="004D5F46">
        <w:rPr>
          <w:rFonts w:ascii="PermianSerifTypeface" w:hAnsi="PermianSerifTypeface"/>
          <w:lang w:val="ru-RU"/>
        </w:rPr>
        <w:t>non</w:t>
      </w:r>
      <w:proofErr w:type="spellEnd"/>
      <w:r w:rsidRPr="004D5F46">
        <w:rPr>
          <w:rFonts w:ascii="PermianSerifTypeface" w:hAnsi="PermianSerifTypeface"/>
          <w:lang w:val="ru-RU"/>
        </w:rPr>
        <w:t>-ИТ, которые играют важную роль для поставки услуг по депонированию, реестру, компенсированию и расчету.</w:t>
      </w:r>
    </w:p>
    <w:p w14:paraId="6D969BC1" w14:textId="77777777" w:rsidR="00F80FDB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10.</w:t>
      </w:r>
      <w:r w:rsidRPr="004D5F46">
        <w:rPr>
          <w:rFonts w:ascii="PermianSerifTypeface" w:hAnsi="PermianSerifTypeface"/>
          <w:lang w:val="ru-RU"/>
        </w:rPr>
        <w:t xml:space="preserve"> Тесты осуществляются третьим лицом или специализированным департаментом/подразделением Центрального депозитария при условии, что он/оно отличается и независим/независимо от департамента/подразделения, ответственного за развитие, внедрение информационной системы, инфраструктуры ИТ.</w:t>
      </w:r>
    </w:p>
    <w:p w14:paraId="5B5FD039" w14:textId="54020C16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11.</w:t>
      </w:r>
      <w:r w:rsidRPr="004D5F46">
        <w:rPr>
          <w:rFonts w:ascii="PermianSerifTypeface" w:hAnsi="PermianSerifTypeface"/>
          <w:lang w:val="ru-RU"/>
        </w:rPr>
        <w:t xml:space="preserve"> Результаты данных тестов будут переданы НБМ не позднее 31 декабря отчетного года вместе с принятыми или предложенными Центральным депозитарием мерами для устранения выявленных дисфункций.</w:t>
      </w:r>
    </w:p>
    <w:p w14:paraId="05C40110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 </w:t>
      </w:r>
    </w:p>
    <w:p w14:paraId="033F92EC" w14:textId="77777777" w:rsidR="00F80FDB" w:rsidRDefault="004D5F46" w:rsidP="00F80FDB">
      <w:pPr>
        <w:spacing w:after="0"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ГЛАВА III</w:t>
      </w:r>
    </w:p>
    <w:p w14:paraId="13F69A10" w14:textId="66D34E32" w:rsidR="00F80FDB" w:rsidRPr="004D5F46" w:rsidRDefault="001A758F" w:rsidP="00C96EC7">
      <w:pPr>
        <w:spacing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НАДЗОР ЗА ЦЕНТРАЛЬНЫМ ДЕПОЗИТАРИЕМ</w:t>
      </w:r>
    </w:p>
    <w:p w14:paraId="289DFE8A" w14:textId="31AD40A1" w:rsidR="004D5F46" w:rsidRPr="004D5F46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12.</w:t>
      </w:r>
      <w:r w:rsidRPr="004D5F46">
        <w:rPr>
          <w:rFonts w:ascii="PermianSerifTypeface" w:hAnsi="PermianSerifTypeface"/>
          <w:lang w:val="ru-RU"/>
        </w:rPr>
        <w:t xml:space="preserve"> </w:t>
      </w:r>
      <w:r w:rsidR="001A758F" w:rsidRPr="001A758F">
        <w:rPr>
          <w:rFonts w:ascii="PermianSerifTypeface" w:hAnsi="PermianSerifTypeface"/>
          <w:lang w:val="ru-RU"/>
        </w:rPr>
        <w:t>Национальный банк Молдовы рассматривает в рамках контроля и/или мониторинга соглашения (договоры), заключенные Центральным депозитарием, стратегии, процессы и информационные системы, внедренные Центральным депозитарием, с целью определения их соответствия Закону № 234/2016 и оценки рисков, которые Центральному депозитарию присущи или которым он может быть подвержен.</w:t>
      </w:r>
    </w:p>
    <w:p w14:paraId="503AB432" w14:textId="1890C96E" w:rsidR="004D5F46" w:rsidRPr="004D5F46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13.</w:t>
      </w:r>
      <w:r w:rsidRPr="004D5F46">
        <w:rPr>
          <w:rFonts w:ascii="PermianSerifTypeface" w:hAnsi="PermianSerifTypeface"/>
          <w:lang w:val="ru-RU"/>
        </w:rPr>
        <w:t xml:space="preserve"> </w:t>
      </w:r>
      <w:r w:rsidR="001A758F" w:rsidRPr="001A758F">
        <w:rPr>
          <w:rFonts w:ascii="PermianSerifTypeface" w:hAnsi="PermianSerifTypeface"/>
          <w:lang w:val="ru-RU"/>
        </w:rPr>
        <w:t xml:space="preserve">План контроля НБМ Центрального депозитария разрабатывается с учетом нарушений, выявленных в ходе предыдущих проверок, принятых </w:t>
      </w:r>
      <w:proofErr w:type="gramStart"/>
      <w:r w:rsidR="001A758F" w:rsidRPr="001A758F">
        <w:rPr>
          <w:rFonts w:ascii="PermianSerifTypeface" w:hAnsi="PermianSerifTypeface"/>
          <w:lang w:val="ru-RU"/>
        </w:rPr>
        <w:t>им</w:t>
      </w:r>
      <w:proofErr w:type="gramEnd"/>
      <w:r w:rsidR="001A758F" w:rsidRPr="001A758F">
        <w:rPr>
          <w:rFonts w:ascii="PermianSerifTypeface" w:hAnsi="PermianSerifTypeface"/>
          <w:lang w:val="ru-RU"/>
        </w:rPr>
        <w:t xml:space="preserve"> мер по прекращению и/или устранению выявленных нарушений, рисков, которым он подвержен/может подвергнуться, а также уведомлений, полученных НБМ. Центральный депозитарий подлежит проверке не реже одного раза в три года.</w:t>
      </w:r>
    </w:p>
    <w:p w14:paraId="771FC79D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14.</w:t>
      </w:r>
      <w:r w:rsidRPr="004D5F46">
        <w:rPr>
          <w:rFonts w:ascii="PermianSerifTypeface" w:hAnsi="PermianSerifTypeface"/>
          <w:lang w:val="ru-RU"/>
        </w:rPr>
        <w:t xml:space="preserve"> Национальный банк Молдовы имеет право изучать счета, реестры, записи и другие документы на бумажной основе или в электронном виде для проверки соблюдения Центральным депозитарием настоящего закона или нормативных актов Национального банка Молдовы.</w:t>
      </w:r>
    </w:p>
    <w:p w14:paraId="1939CFFE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15.</w:t>
      </w:r>
      <w:r w:rsidRPr="004D5F46">
        <w:rPr>
          <w:rFonts w:ascii="PermianSerifTypeface" w:hAnsi="PermianSerifTypeface"/>
          <w:lang w:val="ru-RU"/>
        </w:rPr>
        <w:t xml:space="preserve"> Для выполнения своих функций НБМ имеет право требовать от Центрального депозитария предоставление информации и данных, а </w:t>
      </w:r>
      <w:r w:rsidRPr="004D5F46">
        <w:rPr>
          <w:rFonts w:ascii="PermianSerifTypeface" w:hAnsi="PermianSerifTypeface"/>
          <w:lang w:val="ru-RU"/>
        </w:rPr>
        <w:lastRenderedPageBreak/>
        <w:t>Центральный депозитарий обязан представить их в сроки, установленные Национальным банком Молдовы.</w:t>
      </w:r>
    </w:p>
    <w:p w14:paraId="59ED03C9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 </w:t>
      </w:r>
    </w:p>
    <w:p w14:paraId="490B9ED7" w14:textId="77777777" w:rsidR="001A758F" w:rsidRDefault="004D5F46" w:rsidP="001A758F">
      <w:pPr>
        <w:spacing w:after="0" w:line="240" w:lineRule="auto"/>
        <w:ind w:firstLine="708"/>
        <w:jc w:val="center"/>
        <w:rPr>
          <w:rFonts w:ascii="PermianSerifTypeface" w:hAnsi="PermianSerifTypeface"/>
          <w:b/>
          <w:bCs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ГЛАВА IV</w:t>
      </w:r>
    </w:p>
    <w:p w14:paraId="74B71EEB" w14:textId="7BB2E6E2" w:rsidR="004D5F46" w:rsidRPr="004D5F46" w:rsidRDefault="001A758F" w:rsidP="00C96EC7">
      <w:pPr>
        <w:spacing w:line="240" w:lineRule="auto"/>
        <w:ind w:firstLine="708"/>
        <w:jc w:val="center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ИСПРАВИТЕЛЬНЫЕ МЕРЫ. САНКЦИИ.</w:t>
      </w:r>
    </w:p>
    <w:p w14:paraId="302A029A" w14:textId="77777777" w:rsidR="004D5F46" w:rsidRPr="004D5F46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16.</w:t>
      </w:r>
      <w:r w:rsidRPr="004D5F46">
        <w:rPr>
          <w:rFonts w:ascii="PermianSerifTypeface" w:hAnsi="PermianSerifTypeface"/>
          <w:lang w:val="ru-RU"/>
        </w:rPr>
        <w:t xml:space="preserve"> </w:t>
      </w:r>
      <w:proofErr w:type="gramStart"/>
      <w:r w:rsidRPr="004D5F46">
        <w:rPr>
          <w:rFonts w:ascii="PermianSerifTypeface" w:hAnsi="PermianSerifTypeface"/>
          <w:lang w:val="ru-RU"/>
        </w:rPr>
        <w:t>В случае нарушения настоящего закона или нормативных актов НБМ,</w:t>
      </w:r>
      <w:proofErr w:type="gramEnd"/>
      <w:r w:rsidRPr="004D5F46">
        <w:rPr>
          <w:rFonts w:ascii="PermianSerifTypeface" w:hAnsi="PermianSerifTypeface"/>
          <w:lang w:val="ru-RU"/>
        </w:rPr>
        <w:t xml:space="preserve"> Национальный банк Молдовы имеет право требовать у Центрального депозитария принятия действий или мер, необходимых для урегулирования ситуации.</w:t>
      </w:r>
    </w:p>
    <w:p w14:paraId="56B290B5" w14:textId="77777777" w:rsidR="004D5F46" w:rsidRPr="004D5F46" w:rsidRDefault="004D5F46" w:rsidP="00C96EC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17.</w:t>
      </w:r>
      <w:r w:rsidRPr="004D5F46">
        <w:rPr>
          <w:rFonts w:ascii="PermianSerifTypeface" w:hAnsi="PermianSerifTypeface"/>
          <w:lang w:val="ru-RU"/>
        </w:rPr>
        <w:t xml:space="preserve"> По требованию НБМ Центральный депозитарий обязан утвердить и представить Национальному банку план восстановления для обеспечения непрерывности деятельности Центрального депозитария. Сроки, форма представления, минимальные требования к содержанию плана по урегулированию будут указаны в требовании НБМ.</w:t>
      </w:r>
    </w:p>
    <w:p w14:paraId="1B664387" w14:textId="77777777" w:rsidR="004D5F46" w:rsidRPr="004D5F46" w:rsidRDefault="004D5F46" w:rsidP="00F80FDB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18.</w:t>
      </w:r>
      <w:r w:rsidRPr="004D5F46">
        <w:rPr>
          <w:rFonts w:ascii="PermianSerifTypeface" w:hAnsi="PermianSerifTypeface"/>
          <w:lang w:val="ru-RU"/>
        </w:rPr>
        <w:t xml:space="preserve"> При выполнении своих функций, предусмотренных Законом 234/2016 и настоящим регламентом, НБМ имеет право направлять рекомендации Центральному депозитарию, участникам или организациям, которым были переданы на аутсорсинг деятельность и услуги Центрального депозитария, с целью обеспечения соблюдения настоящего закона и нормативных актов Национального банка Молдовы.</w:t>
      </w:r>
    </w:p>
    <w:p w14:paraId="5680B1F1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19.</w:t>
      </w:r>
      <w:r w:rsidRPr="004D5F46">
        <w:rPr>
          <w:rFonts w:ascii="PermianSerifTypeface" w:hAnsi="PermianSerifTypeface"/>
          <w:lang w:val="ru-RU"/>
        </w:rPr>
        <w:t xml:space="preserve"> Национальный банк Молдовы имеет право применять по отношению к Центральному депозитарию, его участникам или организациям, которым были переданы на аутсорсинг деятельность и услуги Центрального депозитария, следующие санкции в случае нарушения настоящего закона или нормативных актов НБМ:</w:t>
      </w:r>
    </w:p>
    <w:p w14:paraId="61625B7D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1) предупреждение;</w:t>
      </w:r>
    </w:p>
    <w:p w14:paraId="796B468D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выговор;</w:t>
      </w:r>
    </w:p>
    <w:p w14:paraId="49536664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3) запрет осуществления сделок или специфических операций;</w:t>
      </w:r>
    </w:p>
    <w:p w14:paraId="08F308EB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4) запрет заниматься определенной деятельностью;</w:t>
      </w:r>
    </w:p>
    <w:p w14:paraId="51ABEDB2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5) увольнение или отстранение соответствующего лица от занимаемой должности;</w:t>
      </w:r>
    </w:p>
    <w:p w14:paraId="3D39485E" w14:textId="065DA5BD" w:rsidR="004D5F46" w:rsidRPr="004D5F46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6) запрет на оказание некоторых видов услуг.</w:t>
      </w:r>
    </w:p>
    <w:p w14:paraId="7DE5EDBB" w14:textId="78DE26C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b/>
          <w:bCs/>
          <w:lang w:val="ru-RU"/>
        </w:rPr>
        <w:t>20.</w:t>
      </w:r>
      <w:r w:rsidRPr="004D5F46">
        <w:rPr>
          <w:rFonts w:ascii="PermianSerifTypeface" w:hAnsi="PermianSerifTypeface"/>
          <w:lang w:val="ru-RU"/>
        </w:rPr>
        <w:t xml:space="preserve"> Национальный банк Молдовы принимает во внимание все соответствующие обстоятельства в случае применения таких санкций, в том числе при необходимости:</w:t>
      </w:r>
    </w:p>
    <w:p w14:paraId="47616DCD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1) тяжесть и продолжительность нарушения путем установления отягчающих и смягчающих обстоятельств;</w:t>
      </w:r>
    </w:p>
    <w:p w14:paraId="60977CF8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2) степень ответственности лица, допустившего нарушение;</w:t>
      </w:r>
    </w:p>
    <w:p w14:paraId="3C326C56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3) финансовые возможности лица, допустившего нарушение;</w:t>
      </w:r>
    </w:p>
    <w:p w14:paraId="2CC2BB73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4) важность полученных доходов, потерь, которые удалось избежать лицу, допустившему нарушение, или убытки для третьих лиц, допущенные в результате нарушения, в той мере, в какой они могут быть определены;</w:t>
      </w:r>
    </w:p>
    <w:p w14:paraId="01353139" w14:textId="77777777" w:rsid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5) уровень сотрудничества лица, допустившего нарушение;</w:t>
      </w:r>
    </w:p>
    <w:p w14:paraId="5F5613F8" w14:textId="70AE1479" w:rsidR="007075E0" w:rsidRPr="001A758F" w:rsidRDefault="004D5F46" w:rsidP="005C62F7">
      <w:pPr>
        <w:spacing w:after="0" w:line="240" w:lineRule="auto"/>
        <w:ind w:firstLine="708"/>
        <w:jc w:val="both"/>
        <w:rPr>
          <w:rFonts w:ascii="PermianSerifTypeface" w:hAnsi="PermianSerifTypeface"/>
          <w:lang w:val="ru-RU"/>
        </w:rPr>
      </w:pPr>
      <w:r w:rsidRPr="004D5F46">
        <w:rPr>
          <w:rFonts w:ascii="PermianSerifTypeface" w:hAnsi="PermianSerifTypeface"/>
          <w:lang w:val="ru-RU"/>
        </w:rPr>
        <w:t>6) предыдущие нарушения лица, допустившего нарушение.</w:t>
      </w:r>
    </w:p>
    <w:sectPr w:rsidR="007075E0" w:rsidRPr="001A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F8"/>
    <w:rsid w:val="0009418E"/>
    <w:rsid w:val="000E04F9"/>
    <w:rsid w:val="001A758F"/>
    <w:rsid w:val="001B50AE"/>
    <w:rsid w:val="002F5E25"/>
    <w:rsid w:val="004D5F46"/>
    <w:rsid w:val="005C62F7"/>
    <w:rsid w:val="005E291C"/>
    <w:rsid w:val="00701536"/>
    <w:rsid w:val="007075E0"/>
    <w:rsid w:val="00AB0342"/>
    <w:rsid w:val="00B43E20"/>
    <w:rsid w:val="00C35AA5"/>
    <w:rsid w:val="00C438F8"/>
    <w:rsid w:val="00C96EC7"/>
    <w:rsid w:val="00D65FBA"/>
    <w:rsid w:val="00F80FD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3575"/>
  <w15:chartTrackingRefBased/>
  <w15:docId w15:val="{A60525B8-6F46-4D1A-B5DB-219A3228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F8"/>
    <w:rPr>
      <w:b/>
      <w:bCs/>
      <w:smallCaps/>
      <w:color w:val="0F4761" w:themeColor="accent1" w:themeShade="BF"/>
      <w:spacing w:val="5"/>
    </w:rPr>
  </w:style>
  <w:style w:type="character" w:customStyle="1" w:styleId="docheader">
    <w:name w:val="doc_header"/>
    <w:basedOn w:val="DefaultParagraphFont"/>
    <w:rsid w:val="00C438F8"/>
  </w:style>
  <w:style w:type="paragraph" w:customStyle="1" w:styleId="right">
    <w:name w:val="right"/>
    <w:basedOn w:val="Normal"/>
    <w:rsid w:val="00C4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438F8"/>
    <w:rPr>
      <w:b/>
      <w:bCs/>
    </w:rPr>
  </w:style>
  <w:style w:type="paragraph" w:customStyle="1" w:styleId="rtecenter">
    <w:name w:val="rtecenter"/>
    <w:basedOn w:val="Normal"/>
    <w:rsid w:val="004D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4D5F4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D5F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1384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2025-10-27T13:39:00Z</dcterms:created>
  <dcterms:modified xsi:type="dcterms:W3CDTF">2025-10-28T07:04:00Z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2025-10-27T14:00:58Z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ede5b45b-22e1-4fa8-bc6a-21af5dd5f370</vt:lpwstr>
  </property>
  <property fmtid="{D5CDD505-2E9C-101B-9397-08002B2CF9AE}" pid="8" name="MSIP_Label_38962dcf-d39f-4edc-a396-338a56ba9170_ContentBits">
    <vt:lpwstr>0</vt:lpwstr>
  </property>
</Properties>
</file>