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0744EF" w14:textId="77777777" w:rsidR="00DA4BF4" w:rsidRPr="00DB6506" w:rsidRDefault="00DA4BF4" w:rsidP="005E339B">
      <w:pPr>
        <w:tabs>
          <w:tab w:val="left" w:pos="6379"/>
        </w:tabs>
        <w:rPr>
          <w:rFonts w:ascii="PermianSerifTypeface" w:hAnsi="PermianSerifTypeface"/>
          <w:sz w:val="2"/>
          <w:szCs w:val="2"/>
          <w:lang w:val="en-US"/>
        </w:rPr>
      </w:pPr>
    </w:p>
    <w:p w14:paraId="20EC5D64" w14:textId="77777777" w:rsidR="00D3059E" w:rsidRPr="00DB6506" w:rsidRDefault="00D3059E">
      <w:pPr>
        <w:rPr>
          <w:rFonts w:ascii="PermianSerifTypeface" w:hAnsi="PermianSerifTypeface"/>
          <w:sz w:val="2"/>
          <w:szCs w:val="2"/>
          <w:lang w:val="en-US"/>
        </w:rPr>
      </w:pPr>
    </w:p>
    <w:tbl>
      <w:tblPr>
        <w:tblpPr w:leftFromText="180" w:rightFromText="180" w:vertAnchor="page" w:horzAnchor="margin" w:tblpX="-709" w:tblpY="1793"/>
        <w:tblW w:w="10206" w:type="dxa"/>
        <w:tblLook w:val="0000" w:firstRow="0" w:lastRow="0" w:firstColumn="0" w:lastColumn="0" w:noHBand="0" w:noVBand="0"/>
      </w:tblPr>
      <w:tblGrid>
        <w:gridCol w:w="10206"/>
      </w:tblGrid>
      <w:tr w:rsidR="0024004F" w:rsidRPr="00DB6506" w14:paraId="6ACC9179" w14:textId="77777777" w:rsidTr="000D390B">
        <w:trPr>
          <w:trHeight w:val="421"/>
        </w:trPr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390DB4B" w14:textId="254D8F1C" w:rsidR="0024004F" w:rsidRPr="000D390B" w:rsidRDefault="000D390B" w:rsidP="00201F69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6"/>
                <w:szCs w:val="26"/>
                <w:lang w:val="en-US"/>
              </w:rPr>
            </w:pPr>
            <w:r w:rsidRPr="000D390B"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6"/>
                <w:szCs w:val="26"/>
                <w:lang w:val="en-US"/>
              </w:rPr>
              <w:t>CONSOLIDATED AND SEPARATE STATEMENT OF COMPREHENSIVE RESULT</w:t>
            </w:r>
          </w:p>
          <w:p w14:paraId="51775A35" w14:textId="3E289424" w:rsidR="00DB6506" w:rsidRPr="00DB6506" w:rsidRDefault="00DB6506" w:rsidP="000D390B">
            <w:pPr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PermianSerifTypeface" w:eastAsia="Times New Roman" w:hAnsi="PermianSerifTypeface" w:cs="Times New Roman"/>
                <w:b/>
                <w:bCs/>
                <w:color w:val="000000"/>
                <w:sz w:val="28"/>
                <w:szCs w:val="28"/>
                <w:lang w:val="en-US"/>
              </w:rPr>
              <w:t>(unaudited)</w:t>
            </w:r>
          </w:p>
        </w:tc>
      </w:tr>
      <w:tr w:rsidR="0024004F" w:rsidRPr="00DB6506" w14:paraId="2075FF21" w14:textId="77777777" w:rsidTr="000D390B">
        <w:trPr>
          <w:trHeight w:val="573"/>
        </w:trPr>
        <w:tc>
          <w:tcPr>
            <w:tcW w:w="10206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44F5B037" w14:textId="5404EE81" w:rsidR="0024004F" w:rsidRPr="00DB6506" w:rsidRDefault="005E339B" w:rsidP="000D390B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PermianSerifTypeface" w:eastAsia="Times New Roman" w:hAnsi="PermianSerifTypeface" w:cs="Times New Roman"/>
                <w:sz w:val="28"/>
                <w:szCs w:val="28"/>
                <w:lang w:val="en-US"/>
              </w:rPr>
            </w:pPr>
            <w:r w:rsidRPr="00DB6506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en-US"/>
              </w:rPr>
              <w:t>For the 6 months ended 30 June 202</w:t>
            </w:r>
            <w:r w:rsidR="006F25EE">
              <w:rPr>
                <w:rFonts w:ascii="PermianSerifTypeface" w:eastAsia="Times New Roman" w:hAnsi="PermianSerifTypeface" w:cs="Times New Roman"/>
                <w:b/>
                <w:sz w:val="28"/>
                <w:szCs w:val="28"/>
                <w:lang w:val="en-US"/>
              </w:rPr>
              <w:t>4</w:t>
            </w:r>
          </w:p>
        </w:tc>
      </w:tr>
    </w:tbl>
    <w:p w14:paraId="03554794" w14:textId="77777777" w:rsidR="00A75602" w:rsidRPr="000D390B" w:rsidRDefault="00A75602" w:rsidP="008E11B5">
      <w:pPr>
        <w:spacing w:after="0" w:line="240" w:lineRule="auto"/>
        <w:jc w:val="both"/>
        <w:rPr>
          <w:rFonts w:ascii="PermianSerifTypeface" w:eastAsia="Times New Roman" w:hAnsi="PermianSerifTypeface" w:cs="Times New Roman"/>
        </w:rPr>
      </w:pPr>
    </w:p>
    <w:p w14:paraId="79A7A13A" w14:textId="77777777" w:rsidR="001E2FB9" w:rsidRPr="00DB6506" w:rsidRDefault="001E2FB9" w:rsidP="008E11B5">
      <w:pPr>
        <w:spacing w:after="0" w:line="240" w:lineRule="auto"/>
        <w:jc w:val="both"/>
        <w:rPr>
          <w:rFonts w:ascii="PermianSerifTypeface" w:eastAsia="Times New Roman" w:hAnsi="PermianSerifTypeface" w:cs="Times New Roman"/>
          <w:lang w:val="en-US"/>
        </w:rPr>
      </w:pPr>
    </w:p>
    <w:tbl>
      <w:tblPr>
        <w:tblStyle w:val="TableGridLight"/>
        <w:tblpPr w:leftFromText="180" w:rightFromText="180" w:vertAnchor="text" w:horzAnchor="margin" w:tblpX="-852" w:tblpY="99"/>
        <w:tblW w:w="10632" w:type="dxa"/>
        <w:tblBorders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5529"/>
        <w:gridCol w:w="1134"/>
        <w:gridCol w:w="1277"/>
        <w:gridCol w:w="284"/>
        <w:gridCol w:w="1132"/>
        <w:gridCol w:w="1276"/>
      </w:tblGrid>
      <w:tr w:rsidR="000D390B" w:rsidRPr="005C3EA9" w14:paraId="352CD4CB" w14:textId="77777777" w:rsidTr="000D390B">
        <w:trPr>
          <w:trHeight w:val="57"/>
        </w:trPr>
        <w:tc>
          <w:tcPr>
            <w:tcW w:w="5529" w:type="dxa"/>
            <w:vMerge w:val="restart"/>
            <w:tcBorders>
              <w:bottom w:val="nil"/>
            </w:tcBorders>
            <w:noWrap/>
          </w:tcPr>
          <w:p w14:paraId="786A6B8C" w14:textId="77777777" w:rsidR="000D390B" w:rsidRPr="005C3EA9" w:rsidRDefault="000D390B" w:rsidP="000D390B">
            <w:pPr>
              <w:contextualSpacing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br w:type="page"/>
            </w:r>
          </w:p>
        </w:tc>
        <w:tc>
          <w:tcPr>
            <w:tcW w:w="2411" w:type="dxa"/>
            <w:gridSpan w:val="2"/>
            <w:tcBorders>
              <w:bottom w:val="single" w:sz="8" w:space="0" w:color="808080"/>
            </w:tcBorders>
            <w:vAlign w:val="center"/>
          </w:tcPr>
          <w:p w14:paraId="70620A26" w14:textId="77777777" w:rsidR="000D390B" w:rsidRPr="005C3EA9" w:rsidRDefault="000D390B" w:rsidP="000D390B">
            <w:pPr>
              <w:contextualSpacing/>
              <w:jc w:val="center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CONSOLIDATED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7C2C36DB" w14:textId="77777777" w:rsidR="000D390B" w:rsidRPr="005C3EA9" w:rsidRDefault="000D390B" w:rsidP="000D390B">
            <w:pPr>
              <w:contextualSpacing/>
              <w:jc w:val="right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2408" w:type="dxa"/>
            <w:gridSpan w:val="2"/>
            <w:tcBorders>
              <w:bottom w:val="single" w:sz="8" w:space="0" w:color="808080"/>
            </w:tcBorders>
            <w:shd w:val="clear" w:color="auto" w:fill="auto"/>
          </w:tcPr>
          <w:p w14:paraId="474174DB" w14:textId="77777777" w:rsidR="000D390B" w:rsidRPr="005C3EA9" w:rsidRDefault="000D390B" w:rsidP="000D390B">
            <w:pPr>
              <w:contextualSpacing/>
              <w:jc w:val="center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BAN</w:t>
            </w:r>
            <w:r w:rsidRPr="005C3EA9">
              <w:rPr>
                <w:rFonts w:ascii="PermianSerifTypeface" w:hAnsi="PermianSerifTypeface"/>
                <w:b/>
                <w:lang w:val="en-US"/>
              </w:rPr>
              <w:t>K</w:t>
            </w:r>
          </w:p>
        </w:tc>
      </w:tr>
      <w:tr w:rsidR="000D390B" w:rsidRPr="005C3EA9" w14:paraId="689EF7EC" w14:textId="77777777" w:rsidTr="00874620">
        <w:trPr>
          <w:trHeight w:val="45"/>
        </w:trPr>
        <w:tc>
          <w:tcPr>
            <w:tcW w:w="5529" w:type="dxa"/>
            <w:vMerge/>
            <w:tcBorders>
              <w:bottom w:val="nil"/>
            </w:tcBorders>
            <w:noWrap/>
          </w:tcPr>
          <w:p w14:paraId="13EC446B" w14:textId="77777777" w:rsidR="000D390B" w:rsidRPr="005C3EA9" w:rsidRDefault="000D390B" w:rsidP="000D390B">
            <w:pPr>
              <w:spacing w:after="240"/>
              <w:ind w:right="-120"/>
              <w:contextualSpacing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808080"/>
              <w:bottom w:val="single" w:sz="8" w:space="0" w:color="808080"/>
            </w:tcBorders>
          </w:tcPr>
          <w:p w14:paraId="089D8732" w14:textId="77777777" w:rsidR="000D390B" w:rsidRPr="005C3EA9" w:rsidRDefault="000D390B" w:rsidP="000D390B">
            <w:pPr>
              <w:ind w:left="-21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 xml:space="preserve">30 June  </w:t>
            </w:r>
          </w:p>
          <w:p w14:paraId="1E583D8B" w14:textId="6E4670C3" w:rsidR="000D390B" w:rsidRPr="005C3EA9" w:rsidRDefault="000D390B" w:rsidP="000D390B">
            <w:pPr>
              <w:spacing w:after="240"/>
              <w:ind w:left="40" w:right="32"/>
              <w:contextualSpacing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202</w:t>
            </w:r>
            <w:r w:rsidR="006F25EE">
              <w:rPr>
                <w:rFonts w:ascii="PermianSerifTypeface" w:hAnsi="PermianSerifTypeface"/>
                <w:b/>
                <w:lang w:val="ro-MD"/>
              </w:rPr>
              <w:t>4</w:t>
            </w:r>
          </w:p>
        </w:tc>
        <w:tc>
          <w:tcPr>
            <w:tcW w:w="1277" w:type="dxa"/>
            <w:tcBorders>
              <w:top w:val="single" w:sz="8" w:space="0" w:color="808080"/>
              <w:bottom w:val="single" w:sz="8" w:space="0" w:color="808080"/>
            </w:tcBorders>
          </w:tcPr>
          <w:p w14:paraId="3A3DAFB3" w14:textId="77777777" w:rsidR="000D390B" w:rsidRPr="005C3EA9" w:rsidRDefault="000D390B" w:rsidP="000D390B">
            <w:pPr>
              <w:ind w:left="-21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 xml:space="preserve">30 June  </w:t>
            </w:r>
          </w:p>
          <w:p w14:paraId="6B8A3453" w14:textId="61273BC8" w:rsidR="000D390B" w:rsidRPr="005C3EA9" w:rsidRDefault="000D390B" w:rsidP="000D390B">
            <w:pPr>
              <w:spacing w:after="240"/>
              <w:ind w:right="32"/>
              <w:contextualSpacing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202</w:t>
            </w:r>
            <w:r w:rsidR="006F25EE">
              <w:rPr>
                <w:rFonts w:ascii="PermianSerifTypeface" w:hAnsi="PermianSerifTypeface"/>
                <w:b/>
                <w:lang w:val="ro-MD"/>
              </w:rPr>
              <w:t>3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30064D3D" w14:textId="77777777" w:rsidR="000D390B" w:rsidRPr="005C3EA9" w:rsidRDefault="000D390B" w:rsidP="000D390B">
            <w:pPr>
              <w:spacing w:after="240"/>
              <w:ind w:left="-810" w:right="32"/>
              <w:contextualSpacing/>
              <w:jc w:val="right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1132" w:type="dxa"/>
            <w:tcBorders>
              <w:top w:val="single" w:sz="8" w:space="0" w:color="808080"/>
              <w:bottom w:val="single" w:sz="8" w:space="0" w:color="808080"/>
            </w:tcBorders>
            <w:shd w:val="clear" w:color="auto" w:fill="auto"/>
          </w:tcPr>
          <w:p w14:paraId="7CCDE503" w14:textId="77777777" w:rsidR="000D390B" w:rsidRPr="005C3EA9" w:rsidRDefault="000D390B" w:rsidP="000D390B">
            <w:pPr>
              <w:ind w:left="-21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 xml:space="preserve">30 June  </w:t>
            </w:r>
          </w:p>
          <w:p w14:paraId="01D7ABB7" w14:textId="17EE9A0B" w:rsidR="000D390B" w:rsidRPr="005C3EA9" w:rsidRDefault="000D390B" w:rsidP="000D390B">
            <w:pPr>
              <w:spacing w:after="240"/>
              <w:ind w:right="32"/>
              <w:contextualSpacing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202</w:t>
            </w:r>
            <w:r w:rsidR="006F25EE">
              <w:rPr>
                <w:rFonts w:ascii="PermianSerifTypeface" w:hAnsi="PermianSerifTypeface"/>
                <w:b/>
                <w:lang w:val="ro-MD"/>
              </w:rPr>
              <w:t>4</w:t>
            </w:r>
          </w:p>
        </w:tc>
        <w:tc>
          <w:tcPr>
            <w:tcW w:w="1276" w:type="dxa"/>
            <w:tcBorders>
              <w:top w:val="single" w:sz="8" w:space="0" w:color="808080"/>
              <w:bottom w:val="single" w:sz="8" w:space="0" w:color="808080"/>
            </w:tcBorders>
          </w:tcPr>
          <w:p w14:paraId="49E33644" w14:textId="77777777" w:rsidR="000D390B" w:rsidRPr="005C3EA9" w:rsidRDefault="000D390B" w:rsidP="000D390B">
            <w:pPr>
              <w:ind w:left="-21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 xml:space="preserve">30 June  </w:t>
            </w:r>
          </w:p>
          <w:p w14:paraId="2CA59DAE" w14:textId="6C73E602" w:rsidR="000D390B" w:rsidRPr="005C3EA9" w:rsidRDefault="000D390B" w:rsidP="000D390B">
            <w:pPr>
              <w:spacing w:after="240"/>
              <w:contextualSpacing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202</w:t>
            </w:r>
            <w:r w:rsidR="006F25EE">
              <w:rPr>
                <w:rFonts w:ascii="PermianSerifTypeface" w:hAnsi="PermianSerifTypeface"/>
                <w:b/>
                <w:lang w:val="ro-MD"/>
              </w:rPr>
              <w:t>3</w:t>
            </w:r>
          </w:p>
        </w:tc>
      </w:tr>
      <w:tr w:rsidR="000D390B" w:rsidRPr="005C3EA9" w14:paraId="5ED6C2EA" w14:textId="77777777" w:rsidTr="00874620">
        <w:trPr>
          <w:trHeight w:val="57"/>
        </w:trPr>
        <w:tc>
          <w:tcPr>
            <w:tcW w:w="5529" w:type="dxa"/>
            <w:tcBorders>
              <w:top w:val="nil"/>
            </w:tcBorders>
            <w:noWrap/>
          </w:tcPr>
          <w:p w14:paraId="3599FF2A" w14:textId="77777777" w:rsidR="000D390B" w:rsidRPr="005C3EA9" w:rsidRDefault="000D390B" w:rsidP="000D390B">
            <w:pPr>
              <w:ind w:right="-120"/>
              <w:contextualSpacing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808080"/>
            </w:tcBorders>
          </w:tcPr>
          <w:p w14:paraId="4CAD06EC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MDL’000</w:t>
            </w:r>
          </w:p>
        </w:tc>
        <w:tc>
          <w:tcPr>
            <w:tcW w:w="1277" w:type="dxa"/>
            <w:tcBorders>
              <w:top w:val="single" w:sz="8" w:space="0" w:color="808080"/>
            </w:tcBorders>
          </w:tcPr>
          <w:p w14:paraId="24EF729D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MDL’000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0CB393" w14:textId="77777777" w:rsidR="000D390B" w:rsidRPr="005C3EA9" w:rsidRDefault="000D390B" w:rsidP="000D390B">
            <w:pPr>
              <w:ind w:left="-81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132" w:type="dxa"/>
            <w:tcBorders>
              <w:top w:val="single" w:sz="8" w:space="0" w:color="808080"/>
            </w:tcBorders>
          </w:tcPr>
          <w:p w14:paraId="2F51CD45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MDL’000</w:t>
            </w:r>
          </w:p>
        </w:tc>
        <w:tc>
          <w:tcPr>
            <w:tcW w:w="1276" w:type="dxa"/>
            <w:tcBorders>
              <w:top w:val="single" w:sz="8" w:space="0" w:color="808080"/>
            </w:tcBorders>
            <w:noWrap/>
          </w:tcPr>
          <w:p w14:paraId="703C92C0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MDL’000</w:t>
            </w:r>
          </w:p>
        </w:tc>
      </w:tr>
      <w:tr w:rsidR="000D390B" w:rsidRPr="005C3EA9" w14:paraId="6658E8FA" w14:textId="77777777" w:rsidTr="00874620">
        <w:trPr>
          <w:trHeight w:val="57"/>
        </w:trPr>
        <w:tc>
          <w:tcPr>
            <w:tcW w:w="5529" w:type="dxa"/>
            <w:noWrap/>
          </w:tcPr>
          <w:p w14:paraId="70006BE3" w14:textId="77777777" w:rsidR="000D390B" w:rsidRPr="005C3EA9" w:rsidRDefault="000D390B" w:rsidP="000D390B">
            <w:pPr>
              <w:ind w:right="-120"/>
              <w:contextualSpacing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color w:val="000000"/>
                <w:lang w:val="en-US"/>
              </w:rPr>
              <w:t>Interest income on official reserve assets</w:t>
            </w:r>
          </w:p>
        </w:tc>
        <w:tc>
          <w:tcPr>
            <w:tcW w:w="1134" w:type="dxa"/>
            <w:vAlign w:val="bottom"/>
          </w:tcPr>
          <w:p w14:paraId="0959D1FB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277" w:type="dxa"/>
            <w:vAlign w:val="bottom"/>
          </w:tcPr>
          <w:p w14:paraId="55D92EE6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284" w:type="dxa"/>
            <w:vAlign w:val="bottom"/>
          </w:tcPr>
          <w:p w14:paraId="07E9078C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132" w:type="dxa"/>
            <w:vAlign w:val="bottom"/>
          </w:tcPr>
          <w:p w14:paraId="11D33F1C" w14:textId="77777777" w:rsidR="000D390B" w:rsidRPr="005C3EA9" w:rsidRDefault="000D390B" w:rsidP="000D390B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276" w:type="dxa"/>
            <w:noWrap/>
            <w:vAlign w:val="bottom"/>
          </w:tcPr>
          <w:p w14:paraId="7028BFF4" w14:textId="77777777" w:rsidR="000D390B" w:rsidRPr="005C3EA9" w:rsidRDefault="000D390B" w:rsidP="000D390B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</w:p>
        </w:tc>
      </w:tr>
      <w:tr w:rsidR="00402D1A" w:rsidRPr="005C3EA9" w14:paraId="28BE7664" w14:textId="77777777" w:rsidTr="00874620">
        <w:trPr>
          <w:trHeight w:val="57"/>
        </w:trPr>
        <w:tc>
          <w:tcPr>
            <w:tcW w:w="5529" w:type="dxa"/>
            <w:noWrap/>
          </w:tcPr>
          <w:p w14:paraId="7BEEAA0A" w14:textId="77777777" w:rsidR="00402D1A" w:rsidRPr="005C3EA9" w:rsidRDefault="00402D1A" w:rsidP="00402D1A">
            <w:pPr>
              <w:ind w:right="-120"/>
              <w:contextualSpacing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Interest income on short-term placements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DC62559" w14:textId="1EE58B7C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 xml:space="preserve"> 311 655 </w:t>
            </w:r>
          </w:p>
        </w:tc>
        <w:tc>
          <w:tcPr>
            <w:tcW w:w="1277" w:type="dxa"/>
            <w:tcBorders>
              <w:bottom w:val="nil"/>
            </w:tcBorders>
            <w:vAlign w:val="center"/>
          </w:tcPr>
          <w:p w14:paraId="6593ADAF" w14:textId="6724CC77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 xml:space="preserve">460 531 </w:t>
            </w:r>
          </w:p>
        </w:tc>
        <w:tc>
          <w:tcPr>
            <w:tcW w:w="284" w:type="dxa"/>
            <w:vAlign w:val="center"/>
          </w:tcPr>
          <w:p w14:paraId="6D7AF135" w14:textId="77777777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208467E8" w14:textId="09C4E8D2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 xml:space="preserve"> 311 655 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center"/>
          </w:tcPr>
          <w:p w14:paraId="1292E741" w14:textId="62246FDE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 xml:space="preserve">460 531 </w:t>
            </w:r>
          </w:p>
        </w:tc>
      </w:tr>
      <w:tr w:rsidR="00402D1A" w:rsidRPr="005C3EA9" w14:paraId="5FD429ED" w14:textId="77777777" w:rsidTr="00874620">
        <w:trPr>
          <w:trHeight w:val="57"/>
        </w:trPr>
        <w:tc>
          <w:tcPr>
            <w:tcW w:w="5529" w:type="dxa"/>
            <w:noWrap/>
          </w:tcPr>
          <w:p w14:paraId="2DD0A2A3" w14:textId="77777777" w:rsidR="00402D1A" w:rsidRPr="005C3EA9" w:rsidRDefault="00402D1A" w:rsidP="00402D1A">
            <w:pPr>
              <w:ind w:right="-120"/>
              <w:contextualSpacing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Interest income on securities</w:t>
            </w:r>
          </w:p>
        </w:tc>
        <w:tc>
          <w:tcPr>
            <w:tcW w:w="1134" w:type="dxa"/>
            <w:tcBorders>
              <w:bottom w:val="single" w:sz="4" w:space="0" w:color="808080"/>
            </w:tcBorders>
            <w:vAlign w:val="center"/>
          </w:tcPr>
          <w:p w14:paraId="5A6DF738" w14:textId="2AE47E9A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 xml:space="preserve"> 1 619 680 </w:t>
            </w:r>
          </w:p>
        </w:tc>
        <w:tc>
          <w:tcPr>
            <w:tcW w:w="1277" w:type="dxa"/>
            <w:tcBorders>
              <w:bottom w:val="single" w:sz="4" w:space="0" w:color="808080"/>
            </w:tcBorders>
            <w:vAlign w:val="center"/>
          </w:tcPr>
          <w:p w14:paraId="47B208FE" w14:textId="1AD9A374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 xml:space="preserve">1 087 377 </w:t>
            </w:r>
          </w:p>
        </w:tc>
        <w:tc>
          <w:tcPr>
            <w:tcW w:w="284" w:type="dxa"/>
            <w:vAlign w:val="center"/>
          </w:tcPr>
          <w:p w14:paraId="140FD676" w14:textId="77777777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132" w:type="dxa"/>
            <w:tcBorders>
              <w:bottom w:val="single" w:sz="4" w:space="0" w:color="808080"/>
            </w:tcBorders>
            <w:vAlign w:val="center"/>
          </w:tcPr>
          <w:p w14:paraId="3EA32CB5" w14:textId="2A6053E3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 xml:space="preserve"> 1 619 680 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noWrap/>
            <w:vAlign w:val="center"/>
          </w:tcPr>
          <w:p w14:paraId="14F6EC4E" w14:textId="4C7EEE86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 xml:space="preserve">1 087 377 </w:t>
            </w:r>
          </w:p>
        </w:tc>
      </w:tr>
      <w:tr w:rsidR="00402D1A" w:rsidRPr="005C3EA9" w14:paraId="459774F2" w14:textId="77777777" w:rsidTr="00874620">
        <w:trPr>
          <w:trHeight w:val="57"/>
        </w:trPr>
        <w:tc>
          <w:tcPr>
            <w:tcW w:w="5529" w:type="dxa"/>
            <w:noWrap/>
            <w:vAlign w:val="bottom"/>
          </w:tcPr>
          <w:p w14:paraId="69594EC6" w14:textId="77777777" w:rsidR="00402D1A" w:rsidRPr="005C3EA9" w:rsidRDefault="00402D1A" w:rsidP="00402D1A">
            <w:pPr>
              <w:ind w:right="-120"/>
              <w:contextualSpacing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808080"/>
            </w:tcBorders>
            <w:vAlign w:val="center"/>
          </w:tcPr>
          <w:p w14:paraId="23DAA60A" w14:textId="3C917A53" w:rsidR="00402D1A" w:rsidRPr="00402D1A" w:rsidRDefault="00402D1A" w:rsidP="00402D1A">
            <w:pPr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 xml:space="preserve"> 1 931 335 </w:t>
            </w:r>
          </w:p>
        </w:tc>
        <w:tc>
          <w:tcPr>
            <w:tcW w:w="1277" w:type="dxa"/>
            <w:tcBorders>
              <w:top w:val="single" w:sz="4" w:space="0" w:color="808080"/>
            </w:tcBorders>
            <w:vAlign w:val="center"/>
          </w:tcPr>
          <w:p w14:paraId="16208A54" w14:textId="340E8E5B" w:rsidR="00402D1A" w:rsidRPr="00402D1A" w:rsidRDefault="00402D1A" w:rsidP="00402D1A">
            <w:pPr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 xml:space="preserve"> 1 547 908 </w:t>
            </w:r>
          </w:p>
        </w:tc>
        <w:tc>
          <w:tcPr>
            <w:tcW w:w="284" w:type="dxa"/>
            <w:vAlign w:val="center"/>
          </w:tcPr>
          <w:p w14:paraId="796770EF" w14:textId="77777777" w:rsidR="00402D1A" w:rsidRPr="00402D1A" w:rsidRDefault="00402D1A" w:rsidP="00402D1A">
            <w:pPr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808080"/>
              <w:bottom w:val="nil"/>
            </w:tcBorders>
            <w:vAlign w:val="center"/>
          </w:tcPr>
          <w:p w14:paraId="1064786A" w14:textId="2D78087C" w:rsidR="00402D1A" w:rsidRPr="00402D1A" w:rsidRDefault="00402D1A" w:rsidP="00402D1A">
            <w:pPr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 xml:space="preserve"> 1 931 335 </w:t>
            </w:r>
          </w:p>
        </w:tc>
        <w:tc>
          <w:tcPr>
            <w:tcW w:w="1276" w:type="dxa"/>
            <w:tcBorders>
              <w:top w:val="single" w:sz="4" w:space="0" w:color="808080"/>
              <w:bottom w:val="nil"/>
            </w:tcBorders>
            <w:noWrap/>
            <w:vAlign w:val="center"/>
          </w:tcPr>
          <w:p w14:paraId="796C2A16" w14:textId="70EA4533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 xml:space="preserve">1 547 908 </w:t>
            </w:r>
          </w:p>
        </w:tc>
      </w:tr>
      <w:tr w:rsidR="00402D1A" w:rsidRPr="005C3EA9" w14:paraId="138C39DA" w14:textId="77777777" w:rsidTr="00874620">
        <w:trPr>
          <w:trHeight w:val="57"/>
        </w:trPr>
        <w:tc>
          <w:tcPr>
            <w:tcW w:w="5529" w:type="dxa"/>
            <w:noWrap/>
          </w:tcPr>
          <w:p w14:paraId="5E6E3191" w14:textId="77777777" w:rsidR="00402D1A" w:rsidRPr="005C3EA9" w:rsidRDefault="00402D1A" w:rsidP="00402D1A">
            <w:pPr>
              <w:ind w:right="-120"/>
              <w:contextualSpacing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bCs/>
                <w:lang w:val="en-US"/>
              </w:rPr>
              <w:t>Interest income on instruments in national currency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9875207" w14:textId="77777777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277" w:type="dxa"/>
            <w:tcBorders>
              <w:bottom w:val="nil"/>
            </w:tcBorders>
            <w:vAlign w:val="center"/>
          </w:tcPr>
          <w:p w14:paraId="4762A092" w14:textId="77777777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2DB6EC90" w14:textId="77777777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vAlign w:val="center"/>
          </w:tcPr>
          <w:p w14:paraId="5D9E1CE3" w14:textId="77777777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center"/>
          </w:tcPr>
          <w:p w14:paraId="15C722BC" w14:textId="7777777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</w:p>
        </w:tc>
      </w:tr>
      <w:tr w:rsidR="00402D1A" w:rsidRPr="005C3EA9" w14:paraId="322D0FBF" w14:textId="77777777" w:rsidTr="00874620">
        <w:trPr>
          <w:trHeight w:val="57"/>
        </w:trPr>
        <w:tc>
          <w:tcPr>
            <w:tcW w:w="5529" w:type="dxa"/>
            <w:noWrap/>
          </w:tcPr>
          <w:p w14:paraId="0594127A" w14:textId="77777777" w:rsidR="00402D1A" w:rsidRPr="005C3EA9" w:rsidRDefault="00402D1A" w:rsidP="00402D1A">
            <w:pPr>
              <w:ind w:right="-120"/>
              <w:contextualSpacing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Interest income on loans and repo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2E8B5CAC" w14:textId="666DB2A8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402D1A">
              <w:rPr>
                <w:rFonts w:ascii="PermianSerifTypeface" w:hAnsi="PermianSerifTypeface"/>
                <w:color w:val="000000"/>
                <w:lang w:val="ro-MD"/>
              </w:rPr>
              <w:t>2 684</w:t>
            </w:r>
          </w:p>
        </w:tc>
        <w:tc>
          <w:tcPr>
            <w:tcW w:w="1277" w:type="dxa"/>
            <w:tcBorders>
              <w:bottom w:val="nil"/>
            </w:tcBorders>
            <w:vAlign w:val="center"/>
          </w:tcPr>
          <w:p w14:paraId="336EFAB7" w14:textId="196BBE0F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 xml:space="preserve">3 984 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43951C37" w14:textId="77777777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4A684CBC" w14:textId="556715EC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 xml:space="preserve"> 2 628 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center"/>
          </w:tcPr>
          <w:p w14:paraId="1E54B193" w14:textId="6EC0DBB8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 xml:space="preserve">3 976 </w:t>
            </w:r>
          </w:p>
        </w:tc>
      </w:tr>
      <w:tr w:rsidR="00402D1A" w:rsidRPr="005C3EA9" w14:paraId="7BF6A937" w14:textId="77777777" w:rsidTr="00874620">
        <w:trPr>
          <w:trHeight w:val="57"/>
        </w:trPr>
        <w:tc>
          <w:tcPr>
            <w:tcW w:w="5529" w:type="dxa"/>
            <w:noWrap/>
          </w:tcPr>
          <w:p w14:paraId="05C1E6D6" w14:textId="77777777" w:rsidR="00402D1A" w:rsidRPr="005C3EA9" w:rsidRDefault="00402D1A" w:rsidP="00402D1A">
            <w:pPr>
              <w:ind w:right="-120"/>
              <w:contextualSpacing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Interest income on securities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3F61049" w14:textId="77BA0BA4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402D1A">
              <w:rPr>
                <w:rFonts w:ascii="PermianSerifTypeface" w:hAnsi="PermianSerifTypeface"/>
                <w:color w:val="000000"/>
                <w:lang w:val="ro-MD"/>
              </w:rPr>
              <w:t>370 753</w:t>
            </w:r>
          </w:p>
        </w:tc>
        <w:tc>
          <w:tcPr>
            <w:tcW w:w="1277" w:type="dxa"/>
            <w:tcBorders>
              <w:bottom w:val="nil"/>
            </w:tcBorders>
            <w:vAlign w:val="center"/>
          </w:tcPr>
          <w:p w14:paraId="71DB9A35" w14:textId="375D7EB3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 xml:space="preserve">444 822 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10B7CD5B" w14:textId="77777777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764DD753" w14:textId="18D27711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 xml:space="preserve"> 369 731 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center"/>
          </w:tcPr>
          <w:p w14:paraId="234A7EFE" w14:textId="5D2E7914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 xml:space="preserve">442 632 </w:t>
            </w:r>
          </w:p>
        </w:tc>
      </w:tr>
      <w:tr w:rsidR="00402D1A" w:rsidRPr="005C3EA9" w14:paraId="7AA3E991" w14:textId="77777777" w:rsidTr="00874620">
        <w:trPr>
          <w:trHeight w:val="57"/>
        </w:trPr>
        <w:tc>
          <w:tcPr>
            <w:tcW w:w="5529" w:type="dxa"/>
            <w:noWrap/>
          </w:tcPr>
          <w:p w14:paraId="40C6A61B" w14:textId="77777777" w:rsidR="00402D1A" w:rsidRPr="005C3EA9" w:rsidRDefault="00402D1A" w:rsidP="00402D1A">
            <w:pPr>
              <w:ind w:right="-120"/>
              <w:contextualSpacing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Interest income on other deposits</w:t>
            </w:r>
          </w:p>
        </w:tc>
        <w:tc>
          <w:tcPr>
            <w:tcW w:w="1134" w:type="dxa"/>
            <w:tcBorders>
              <w:top w:val="nil"/>
              <w:bottom w:val="single" w:sz="4" w:space="0" w:color="808080"/>
            </w:tcBorders>
            <w:vAlign w:val="center"/>
          </w:tcPr>
          <w:p w14:paraId="50154141" w14:textId="5AE7CD0E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-</w:t>
            </w:r>
          </w:p>
        </w:tc>
        <w:tc>
          <w:tcPr>
            <w:tcW w:w="1277" w:type="dxa"/>
            <w:tcBorders>
              <w:top w:val="nil"/>
              <w:bottom w:val="single" w:sz="4" w:space="0" w:color="808080"/>
            </w:tcBorders>
            <w:vAlign w:val="center"/>
          </w:tcPr>
          <w:p w14:paraId="5A752F35" w14:textId="09B2754B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 xml:space="preserve"> 1 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5CA0E0DD" w14:textId="77777777" w:rsidR="00402D1A" w:rsidRPr="00402D1A" w:rsidRDefault="00402D1A" w:rsidP="00402D1A">
            <w:pPr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132" w:type="dxa"/>
            <w:tcBorders>
              <w:top w:val="nil"/>
              <w:bottom w:val="single" w:sz="4" w:space="0" w:color="808080"/>
            </w:tcBorders>
            <w:vAlign w:val="center"/>
          </w:tcPr>
          <w:p w14:paraId="22DF6B9C" w14:textId="1E4A849B" w:rsidR="00402D1A" w:rsidRPr="00402D1A" w:rsidRDefault="00402D1A" w:rsidP="00402D1A">
            <w:pPr>
              <w:jc w:val="right"/>
              <w:rPr>
                <w:rFonts w:ascii="PermianSerifTypeface" w:hAnsi="PermianSerifTypeface" w:cs="Calibri"/>
                <w:b/>
                <w:bCs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4" w:space="0" w:color="808080"/>
            </w:tcBorders>
            <w:noWrap/>
            <w:vAlign w:val="center"/>
          </w:tcPr>
          <w:p w14:paraId="702FF3AB" w14:textId="2BCDF74A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bCs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-</w:t>
            </w:r>
          </w:p>
        </w:tc>
      </w:tr>
      <w:tr w:rsidR="00402D1A" w:rsidRPr="005C3EA9" w14:paraId="3C95E58B" w14:textId="77777777" w:rsidTr="00874620">
        <w:trPr>
          <w:trHeight w:val="57"/>
        </w:trPr>
        <w:tc>
          <w:tcPr>
            <w:tcW w:w="5529" w:type="dxa"/>
            <w:noWrap/>
            <w:vAlign w:val="bottom"/>
          </w:tcPr>
          <w:p w14:paraId="7D446904" w14:textId="77777777" w:rsidR="00402D1A" w:rsidRPr="005C3EA9" w:rsidRDefault="00402D1A" w:rsidP="00402D1A">
            <w:pPr>
              <w:ind w:right="-120"/>
              <w:contextualSpacing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26BD4824" w14:textId="1794A894" w:rsidR="00402D1A" w:rsidRPr="00402D1A" w:rsidRDefault="00402D1A" w:rsidP="00402D1A">
            <w:pPr>
              <w:jc w:val="right"/>
              <w:rPr>
                <w:rFonts w:ascii="PermianSerifTypeface" w:hAnsi="PermianSerifTypeface" w:cs="Calibri"/>
                <w:b/>
                <w:color w:val="000000"/>
                <w:lang w:val="ro-MD" w:eastAsia="ro-MD"/>
              </w:rPr>
            </w:pPr>
            <w:r w:rsidRPr="00402D1A">
              <w:rPr>
                <w:rFonts w:ascii="PermianSerifTypeface" w:hAnsi="PermianSerifTypeface"/>
                <w:b/>
                <w:bCs/>
                <w:lang w:val="ro-MD"/>
              </w:rPr>
              <w:t>373 437</w:t>
            </w:r>
          </w:p>
        </w:tc>
        <w:tc>
          <w:tcPr>
            <w:tcW w:w="127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685657E" w14:textId="3D13EF50" w:rsidR="00402D1A" w:rsidRPr="00402D1A" w:rsidRDefault="00402D1A" w:rsidP="00402D1A">
            <w:pPr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402D1A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 xml:space="preserve"> 448 807 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06937981" w14:textId="77777777" w:rsidR="00402D1A" w:rsidRPr="00402D1A" w:rsidRDefault="00402D1A" w:rsidP="00402D1A">
            <w:pPr>
              <w:jc w:val="right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2A8FE76" w14:textId="40D096B8" w:rsidR="00402D1A" w:rsidRPr="00402D1A" w:rsidRDefault="00402D1A" w:rsidP="00402D1A">
            <w:pPr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402D1A">
              <w:rPr>
                <w:rFonts w:ascii="PermianSerifTypeface" w:hAnsi="PermianSerifTypeface"/>
                <w:b/>
                <w:lang w:val="ro-MD"/>
              </w:rPr>
              <w:t xml:space="preserve"> 372 359 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0836E257" w14:textId="1D32F5B3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402D1A">
              <w:rPr>
                <w:rFonts w:ascii="PermianSerifTypeface" w:hAnsi="PermianSerifTypeface"/>
                <w:b/>
                <w:lang w:val="ro-MD"/>
              </w:rPr>
              <w:t>446 608</w:t>
            </w:r>
          </w:p>
        </w:tc>
      </w:tr>
      <w:tr w:rsidR="00402D1A" w:rsidRPr="005C3EA9" w14:paraId="2516FF9D" w14:textId="77777777" w:rsidTr="00874620">
        <w:trPr>
          <w:trHeight w:val="57"/>
        </w:trPr>
        <w:tc>
          <w:tcPr>
            <w:tcW w:w="5529" w:type="dxa"/>
            <w:noWrap/>
          </w:tcPr>
          <w:p w14:paraId="5D93D957" w14:textId="77777777" w:rsidR="00402D1A" w:rsidRPr="005C3EA9" w:rsidRDefault="00402D1A" w:rsidP="00402D1A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bCs/>
                <w:lang w:val="en-US"/>
              </w:rPr>
              <w:t>Interest income calculated using the effective interest method</w:t>
            </w: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53FA4E25" w14:textId="47089A3C" w:rsidR="00402D1A" w:rsidRPr="00402D1A" w:rsidRDefault="00402D1A" w:rsidP="00402D1A">
            <w:pPr>
              <w:jc w:val="right"/>
              <w:rPr>
                <w:rFonts w:ascii="PermianSerifTypeface" w:hAnsi="PermianSerifTypeface" w:cs="Calibri"/>
                <w:b/>
                <w:color w:val="000000"/>
                <w:lang w:val="ro-MD" w:eastAsia="ro-MD"/>
              </w:rPr>
            </w:pPr>
            <w:r w:rsidRPr="00402D1A">
              <w:rPr>
                <w:rFonts w:ascii="PermianSerifTypeface" w:hAnsi="PermianSerifTypeface"/>
                <w:b/>
                <w:bCs/>
                <w:color w:val="000000"/>
                <w:lang w:val="ro-MD"/>
              </w:rPr>
              <w:t>2 304 772</w:t>
            </w:r>
          </w:p>
        </w:tc>
        <w:tc>
          <w:tcPr>
            <w:tcW w:w="127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494B80F" w14:textId="3011D134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 xml:space="preserve">1 996 715 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1865F064" w14:textId="7777777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9C3F71C" w14:textId="369396D3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402D1A">
              <w:rPr>
                <w:rFonts w:ascii="PermianSerifTypeface" w:hAnsi="PermianSerifTypeface"/>
                <w:b/>
                <w:lang w:val="ro-MD"/>
              </w:rPr>
              <w:t xml:space="preserve"> 2 303 694 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0DEBAB4A" w14:textId="570DFBCF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402D1A">
              <w:rPr>
                <w:rFonts w:ascii="PermianSerifTypeface" w:hAnsi="PermianSerifTypeface"/>
                <w:b/>
                <w:color w:val="000000"/>
                <w:lang w:val="ro-MD"/>
              </w:rPr>
              <w:t>1 994 516</w:t>
            </w:r>
          </w:p>
        </w:tc>
      </w:tr>
      <w:tr w:rsidR="001723AD" w:rsidRPr="005C3EA9" w14:paraId="33649764" w14:textId="77777777" w:rsidTr="00874620">
        <w:trPr>
          <w:trHeight w:val="57"/>
        </w:trPr>
        <w:tc>
          <w:tcPr>
            <w:tcW w:w="5529" w:type="dxa"/>
            <w:noWrap/>
          </w:tcPr>
          <w:p w14:paraId="7399B3DC" w14:textId="77777777" w:rsidR="001723AD" w:rsidRPr="005C3EA9" w:rsidRDefault="001723AD" w:rsidP="00402D1A">
            <w:pPr>
              <w:ind w:right="-120"/>
              <w:rPr>
                <w:rFonts w:ascii="PermianSerifTypeface" w:hAnsi="PermianSerifTypeface"/>
                <w:b/>
                <w:bCs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nil"/>
            </w:tcBorders>
            <w:vAlign w:val="center"/>
          </w:tcPr>
          <w:p w14:paraId="6A95F681" w14:textId="77777777" w:rsidR="001723AD" w:rsidRPr="00402D1A" w:rsidRDefault="001723AD" w:rsidP="00402D1A">
            <w:pPr>
              <w:jc w:val="right"/>
              <w:rPr>
                <w:rFonts w:ascii="PermianSerifTypeface" w:hAnsi="PermianSerifTypeface"/>
                <w:b/>
                <w:bCs/>
                <w:color w:val="000000"/>
                <w:lang w:val="ro-MD"/>
              </w:rPr>
            </w:pPr>
          </w:p>
        </w:tc>
        <w:tc>
          <w:tcPr>
            <w:tcW w:w="1277" w:type="dxa"/>
            <w:tcBorders>
              <w:top w:val="single" w:sz="4" w:space="0" w:color="808080"/>
              <w:bottom w:val="nil"/>
            </w:tcBorders>
            <w:vAlign w:val="center"/>
          </w:tcPr>
          <w:p w14:paraId="161EAF2C" w14:textId="77777777" w:rsidR="001723AD" w:rsidRPr="00402D1A" w:rsidRDefault="001723AD" w:rsidP="00402D1A">
            <w:pPr>
              <w:ind w:left="-60"/>
              <w:jc w:val="right"/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</w:pP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232EB93" w14:textId="77777777" w:rsidR="001723AD" w:rsidRPr="00402D1A" w:rsidRDefault="001723AD" w:rsidP="00402D1A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808080"/>
              <w:bottom w:val="nil"/>
            </w:tcBorders>
            <w:vAlign w:val="center"/>
          </w:tcPr>
          <w:p w14:paraId="66842FE8" w14:textId="77777777" w:rsidR="001723AD" w:rsidRPr="00402D1A" w:rsidRDefault="001723AD" w:rsidP="00402D1A">
            <w:pPr>
              <w:ind w:left="-60"/>
              <w:jc w:val="right"/>
              <w:rPr>
                <w:rFonts w:ascii="PermianSerifTypeface" w:hAnsi="PermianSerifTypeface"/>
                <w:b/>
                <w:lang w:val="ro-MD"/>
              </w:rPr>
            </w:pPr>
          </w:p>
        </w:tc>
        <w:tc>
          <w:tcPr>
            <w:tcW w:w="1276" w:type="dxa"/>
            <w:tcBorders>
              <w:top w:val="single" w:sz="4" w:space="0" w:color="808080"/>
              <w:bottom w:val="nil"/>
            </w:tcBorders>
            <w:noWrap/>
            <w:vAlign w:val="center"/>
          </w:tcPr>
          <w:p w14:paraId="782EB863" w14:textId="77777777" w:rsidR="001723AD" w:rsidRPr="00402D1A" w:rsidRDefault="001723AD" w:rsidP="00402D1A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ro-MD"/>
              </w:rPr>
            </w:pPr>
          </w:p>
        </w:tc>
      </w:tr>
      <w:tr w:rsidR="00402D1A" w:rsidRPr="005C3EA9" w14:paraId="6DFA3016" w14:textId="77777777" w:rsidTr="00874620">
        <w:trPr>
          <w:trHeight w:val="57"/>
        </w:trPr>
        <w:tc>
          <w:tcPr>
            <w:tcW w:w="5529" w:type="dxa"/>
            <w:noWrap/>
          </w:tcPr>
          <w:p w14:paraId="0A3C4ED8" w14:textId="77777777" w:rsidR="00402D1A" w:rsidRPr="005C3EA9" w:rsidRDefault="00402D1A" w:rsidP="00402D1A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bCs/>
                <w:lang w:val="en-US"/>
              </w:rPr>
              <w:t>Interest expenses in national currency</w:t>
            </w:r>
          </w:p>
        </w:tc>
        <w:tc>
          <w:tcPr>
            <w:tcW w:w="1134" w:type="dxa"/>
            <w:tcBorders>
              <w:bottom w:val="nil"/>
            </w:tcBorders>
            <w:vAlign w:val="center"/>
          </w:tcPr>
          <w:p w14:paraId="6E6F84C7" w14:textId="7777777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277" w:type="dxa"/>
            <w:tcBorders>
              <w:bottom w:val="nil"/>
            </w:tcBorders>
            <w:vAlign w:val="center"/>
          </w:tcPr>
          <w:p w14:paraId="4745C260" w14:textId="7777777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5A3EAEEC" w14:textId="7777777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31C9699A" w14:textId="7777777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noWrap/>
            <w:vAlign w:val="center"/>
          </w:tcPr>
          <w:p w14:paraId="16E518EE" w14:textId="7777777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</w:tr>
      <w:tr w:rsidR="00402D1A" w:rsidRPr="005C3EA9" w14:paraId="7CFF17F4" w14:textId="77777777" w:rsidTr="00874620">
        <w:trPr>
          <w:trHeight w:val="57"/>
        </w:trPr>
        <w:tc>
          <w:tcPr>
            <w:tcW w:w="5529" w:type="dxa"/>
            <w:noWrap/>
          </w:tcPr>
          <w:p w14:paraId="32139CBA" w14:textId="77777777" w:rsidR="00402D1A" w:rsidRPr="005C3EA9" w:rsidRDefault="00402D1A" w:rsidP="00402D1A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Interest expenses on deposits</w:t>
            </w:r>
          </w:p>
        </w:tc>
        <w:tc>
          <w:tcPr>
            <w:tcW w:w="1134" w:type="dxa"/>
            <w:tcBorders>
              <w:top w:val="nil"/>
              <w:bottom w:val="nil"/>
            </w:tcBorders>
            <w:vAlign w:val="center"/>
          </w:tcPr>
          <w:p w14:paraId="310F5FED" w14:textId="4E822843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(460 997)</w:t>
            </w:r>
          </w:p>
        </w:tc>
        <w:tc>
          <w:tcPr>
            <w:tcW w:w="1277" w:type="dxa"/>
            <w:tcBorders>
              <w:top w:val="nil"/>
              <w:bottom w:val="nil"/>
            </w:tcBorders>
            <w:vAlign w:val="center"/>
          </w:tcPr>
          <w:p w14:paraId="35DFCD4E" w14:textId="724F7A0A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(1 285 996)</w:t>
            </w:r>
          </w:p>
        </w:tc>
        <w:tc>
          <w:tcPr>
            <w:tcW w:w="284" w:type="dxa"/>
            <w:tcBorders>
              <w:top w:val="nil"/>
            </w:tcBorders>
            <w:vAlign w:val="center"/>
          </w:tcPr>
          <w:p w14:paraId="65D40ABE" w14:textId="7777777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2" w:type="dxa"/>
            <w:tcBorders>
              <w:top w:val="nil"/>
              <w:bottom w:val="nil"/>
            </w:tcBorders>
            <w:vAlign w:val="center"/>
          </w:tcPr>
          <w:p w14:paraId="12ACF9F6" w14:textId="6E09BA74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 xml:space="preserve"> (460 997)</w:t>
            </w:r>
          </w:p>
        </w:tc>
        <w:tc>
          <w:tcPr>
            <w:tcW w:w="1276" w:type="dxa"/>
            <w:tcBorders>
              <w:top w:val="nil"/>
              <w:bottom w:val="nil"/>
            </w:tcBorders>
            <w:noWrap/>
            <w:vAlign w:val="center"/>
          </w:tcPr>
          <w:p w14:paraId="10FE0B2B" w14:textId="0642F8D8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(1 285 996)</w:t>
            </w:r>
          </w:p>
        </w:tc>
      </w:tr>
      <w:tr w:rsidR="00402D1A" w:rsidRPr="005C3EA9" w14:paraId="0A6B23D8" w14:textId="77777777" w:rsidTr="00874620">
        <w:trPr>
          <w:trHeight w:val="57"/>
        </w:trPr>
        <w:tc>
          <w:tcPr>
            <w:tcW w:w="5529" w:type="dxa"/>
            <w:noWrap/>
          </w:tcPr>
          <w:p w14:paraId="6146F9B4" w14:textId="77777777" w:rsidR="00402D1A" w:rsidRPr="005C3EA9" w:rsidRDefault="00402D1A" w:rsidP="00402D1A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Interest expenses on transactions with securities and repo</w:t>
            </w:r>
          </w:p>
        </w:tc>
        <w:tc>
          <w:tcPr>
            <w:tcW w:w="1134" w:type="dxa"/>
            <w:tcBorders>
              <w:bottom w:val="single" w:sz="8" w:space="0" w:color="808080"/>
            </w:tcBorders>
            <w:vAlign w:val="center"/>
          </w:tcPr>
          <w:p w14:paraId="71ACB73D" w14:textId="52511DF5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/>
                <w:bCs/>
                <w:lang w:val="ro-MD"/>
              </w:rPr>
              <w:t>(218 615)</w:t>
            </w:r>
          </w:p>
        </w:tc>
        <w:tc>
          <w:tcPr>
            <w:tcW w:w="1277" w:type="dxa"/>
            <w:tcBorders>
              <w:bottom w:val="single" w:sz="8" w:space="0" w:color="808080"/>
            </w:tcBorders>
            <w:vAlign w:val="center"/>
          </w:tcPr>
          <w:p w14:paraId="09FE8C7C" w14:textId="0CF70F48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(917 979)</w:t>
            </w:r>
          </w:p>
        </w:tc>
        <w:tc>
          <w:tcPr>
            <w:tcW w:w="284" w:type="dxa"/>
            <w:vAlign w:val="center"/>
          </w:tcPr>
          <w:p w14:paraId="05602520" w14:textId="7777777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2" w:type="dxa"/>
            <w:tcBorders>
              <w:bottom w:val="single" w:sz="4" w:space="0" w:color="808080"/>
            </w:tcBorders>
            <w:vAlign w:val="center"/>
          </w:tcPr>
          <w:p w14:paraId="547CF951" w14:textId="7D11F75F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 xml:space="preserve"> (219 914)</w:t>
            </w:r>
          </w:p>
        </w:tc>
        <w:tc>
          <w:tcPr>
            <w:tcW w:w="1276" w:type="dxa"/>
            <w:tcBorders>
              <w:bottom w:val="single" w:sz="4" w:space="0" w:color="808080"/>
            </w:tcBorders>
            <w:noWrap/>
            <w:vAlign w:val="center"/>
          </w:tcPr>
          <w:p w14:paraId="59757735" w14:textId="354BFCE3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(919 279)</w:t>
            </w:r>
          </w:p>
        </w:tc>
      </w:tr>
      <w:tr w:rsidR="00402D1A" w:rsidRPr="005C3EA9" w14:paraId="16E63742" w14:textId="77777777" w:rsidTr="00874620">
        <w:trPr>
          <w:trHeight w:val="57"/>
        </w:trPr>
        <w:tc>
          <w:tcPr>
            <w:tcW w:w="5529" w:type="dxa"/>
            <w:noWrap/>
            <w:vAlign w:val="bottom"/>
          </w:tcPr>
          <w:p w14:paraId="4B4AC50C" w14:textId="77777777" w:rsidR="00402D1A" w:rsidRPr="005C3EA9" w:rsidRDefault="00402D1A" w:rsidP="00402D1A">
            <w:pPr>
              <w:ind w:right="-120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4" w:type="dxa"/>
            <w:tcBorders>
              <w:top w:val="single" w:sz="8" w:space="0" w:color="808080"/>
            </w:tcBorders>
            <w:vAlign w:val="center"/>
          </w:tcPr>
          <w:p w14:paraId="6A277A91" w14:textId="3F31503B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402D1A">
              <w:rPr>
                <w:rFonts w:ascii="PermianSerifTypeface" w:hAnsi="PermianSerifTypeface"/>
                <w:b/>
                <w:color w:val="000000"/>
                <w:lang w:val="ro-MD"/>
              </w:rPr>
              <w:t>(679 612)</w:t>
            </w:r>
          </w:p>
        </w:tc>
        <w:tc>
          <w:tcPr>
            <w:tcW w:w="1277" w:type="dxa"/>
            <w:tcBorders>
              <w:top w:val="single" w:sz="8" w:space="0" w:color="808080"/>
            </w:tcBorders>
            <w:vAlign w:val="center"/>
          </w:tcPr>
          <w:p w14:paraId="0795EDC9" w14:textId="61DFB103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(2 203 975)</w:t>
            </w:r>
          </w:p>
        </w:tc>
        <w:tc>
          <w:tcPr>
            <w:tcW w:w="284" w:type="dxa"/>
            <w:vAlign w:val="center"/>
          </w:tcPr>
          <w:p w14:paraId="1DCFFB15" w14:textId="7777777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</w:p>
        </w:tc>
        <w:tc>
          <w:tcPr>
            <w:tcW w:w="1132" w:type="dxa"/>
            <w:tcBorders>
              <w:top w:val="single" w:sz="4" w:space="0" w:color="808080"/>
              <w:bottom w:val="nil"/>
            </w:tcBorders>
            <w:vAlign w:val="center"/>
          </w:tcPr>
          <w:p w14:paraId="4EE01DE8" w14:textId="5D96A82A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 xml:space="preserve"> (680 911)</w:t>
            </w:r>
          </w:p>
        </w:tc>
        <w:tc>
          <w:tcPr>
            <w:tcW w:w="1276" w:type="dxa"/>
            <w:tcBorders>
              <w:top w:val="single" w:sz="4" w:space="0" w:color="808080"/>
              <w:bottom w:val="nil"/>
            </w:tcBorders>
            <w:noWrap/>
            <w:vAlign w:val="center"/>
          </w:tcPr>
          <w:p w14:paraId="06E83FDA" w14:textId="77BE388F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(2 205 275)</w:t>
            </w:r>
          </w:p>
        </w:tc>
      </w:tr>
      <w:tr w:rsidR="00402D1A" w:rsidRPr="005C3EA9" w14:paraId="0A9E6BB4" w14:textId="77777777" w:rsidTr="00874620">
        <w:trPr>
          <w:trHeight w:val="57"/>
        </w:trPr>
        <w:tc>
          <w:tcPr>
            <w:tcW w:w="5529" w:type="dxa"/>
            <w:noWrap/>
          </w:tcPr>
          <w:p w14:paraId="18E2A723" w14:textId="77777777" w:rsidR="00402D1A" w:rsidRPr="005C3EA9" w:rsidRDefault="00402D1A" w:rsidP="00402D1A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bCs/>
                <w:lang w:val="en-US"/>
              </w:rPr>
              <w:t>Interest expenses in foreign currency</w:t>
            </w:r>
          </w:p>
        </w:tc>
        <w:tc>
          <w:tcPr>
            <w:tcW w:w="1134" w:type="dxa"/>
            <w:vAlign w:val="center"/>
          </w:tcPr>
          <w:p w14:paraId="124F57C7" w14:textId="7777777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277" w:type="dxa"/>
            <w:vAlign w:val="center"/>
          </w:tcPr>
          <w:p w14:paraId="08E72FD5" w14:textId="7777777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284" w:type="dxa"/>
            <w:vAlign w:val="center"/>
          </w:tcPr>
          <w:p w14:paraId="2822BD3F" w14:textId="7777777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57C2DC92" w14:textId="7777777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noWrap/>
            <w:vAlign w:val="center"/>
          </w:tcPr>
          <w:p w14:paraId="6994C034" w14:textId="7777777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</w:p>
        </w:tc>
      </w:tr>
      <w:tr w:rsidR="00402D1A" w:rsidRPr="005C3EA9" w14:paraId="38629257" w14:textId="77777777" w:rsidTr="00874620">
        <w:trPr>
          <w:trHeight w:val="57"/>
        </w:trPr>
        <w:tc>
          <w:tcPr>
            <w:tcW w:w="5529" w:type="dxa"/>
            <w:noWrap/>
          </w:tcPr>
          <w:p w14:paraId="7A967F93" w14:textId="77777777" w:rsidR="00402D1A" w:rsidRPr="005C3EA9" w:rsidRDefault="00402D1A" w:rsidP="00402D1A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Interest expenses on borrowings</w:t>
            </w:r>
          </w:p>
        </w:tc>
        <w:tc>
          <w:tcPr>
            <w:tcW w:w="1134" w:type="dxa"/>
            <w:vAlign w:val="center"/>
          </w:tcPr>
          <w:p w14:paraId="46D16E42" w14:textId="578CB5F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(21 148)</w:t>
            </w:r>
          </w:p>
        </w:tc>
        <w:tc>
          <w:tcPr>
            <w:tcW w:w="1277" w:type="dxa"/>
            <w:vAlign w:val="center"/>
          </w:tcPr>
          <w:p w14:paraId="6B7FC57F" w14:textId="4C2DB3D9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(22 735)</w:t>
            </w:r>
          </w:p>
        </w:tc>
        <w:tc>
          <w:tcPr>
            <w:tcW w:w="284" w:type="dxa"/>
            <w:vAlign w:val="center"/>
          </w:tcPr>
          <w:p w14:paraId="1FC88C14" w14:textId="7777777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6BB2A751" w14:textId="105973FC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(21 148)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center"/>
          </w:tcPr>
          <w:p w14:paraId="3FC9B647" w14:textId="52C35074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(22 735)</w:t>
            </w:r>
          </w:p>
        </w:tc>
      </w:tr>
      <w:tr w:rsidR="00402D1A" w:rsidRPr="005C3EA9" w14:paraId="13259CF7" w14:textId="77777777" w:rsidTr="00874620">
        <w:trPr>
          <w:trHeight w:val="57"/>
        </w:trPr>
        <w:tc>
          <w:tcPr>
            <w:tcW w:w="5529" w:type="dxa"/>
            <w:noWrap/>
            <w:vAlign w:val="bottom"/>
          </w:tcPr>
          <w:p w14:paraId="5FAB77D3" w14:textId="77777777" w:rsidR="00402D1A" w:rsidRPr="005C3EA9" w:rsidRDefault="00402D1A" w:rsidP="00402D1A">
            <w:pPr>
              <w:ind w:right="-120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14DFD46D" w14:textId="29F25E0A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402D1A">
              <w:rPr>
                <w:rFonts w:ascii="PermianSerifTypeface" w:hAnsi="PermianSerifTypeface"/>
                <w:b/>
                <w:lang w:val="ro-MD"/>
              </w:rPr>
              <w:t>(21 148)</w:t>
            </w:r>
          </w:p>
        </w:tc>
        <w:tc>
          <w:tcPr>
            <w:tcW w:w="127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9E51CA8" w14:textId="520E6EB0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402D1A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(22 735)</w:t>
            </w:r>
          </w:p>
        </w:tc>
        <w:tc>
          <w:tcPr>
            <w:tcW w:w="284" w:type="dxa"/>
            <w:vAlign w:val="center"/>
          </w:tcPr>
          <w:p w14:paraId="158948AD" w14:textId="7777777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1132" w:type="dxa"/>
            <w:tcBorders>
              <w:top w:val="single" w:sz="8" w:space="0" w:color="808080"/>
              <w:bottom w:val="single" w:sz="4" w:space="0" w:color="808080"/>
            </w:tcBorders>
            <w:vAlign w:val="center"/>
          </w:tcPr>
          <w:p w14:paraId="4EB5E10D" w14:textId="0EB9339A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402D1A">
              <w:rPr>
                <w:rFonts w:ascii="PermianSerifTypeface" w:hAnsi="PermianSerifTypeface"/>
                <w:b/>
                <w:lang w:val="ro-MD"/>
              </w:rPr>
              <w:t>(21 148)</w:t>
            </w:r>
          </w:p>
        </w:tc>
        <w:tc>
          <w:tcPr>
            <w:tcW w:w="1276" w:type="dxa"/>
            <w:tcBorders>
              <w:top w:val="single" w:sz="8" w:space="0" w:color="808080"/>
              <w:bottom w:val="single" w:sz="4" w:space="0" w:color="808080"/>
            </w:tcBorders>
            <w:noWrap/>
            <w:vAlign w:val="center"/>
          </w:tcPr>
          <w:p w14:paraId="32877F26" w14:textId="71FD505E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402D1A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(22 735)</w:t>
            </w:r>
          </w:p>
        </w:tc>
      </w:tr>
      <w:tr w:rsidR="00402D1A" w:rsidRPr="005C3EA9" w14:paraId="5D5ECDB0" w14:textId="77777777" w:rsidTr="00874620">
        <w:trPr>
          <w:trHeight w:val="57"/>
        </w:trPr>
        <w:tc>
          <w:tcPr>
            <w:tcW w:w="5529" w:type="dxa"/>
            <w:noWrap/>
          </w:tcPr>
          <w:p w14:paraId="25036023" w14:textId="77777777" w:rsidR="00402D1A" w:rsidRPr="005C3EA9" w:rsidRDefault="00402D1A" w:rsidP="00402D1A">
            <w:pPr>
              <w:ind w:right="-120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en-US"/>
              </w:rPr>
              <w:t>Interest expenses</w:t>
            </w:r>
          </w:p>
        </w:tc>
        <w:tc>
          <w:tcPr>
            <w:tcW w:w="1134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49FF9CF8" w14:textId="1E01138C" w:rsidR="00402D1A" w:rsidRPr="00402D1A" w:rsidRDefault="00402D1A" w:rsidP="00402D1A">
            <w:pPr>
              <w:ind w:left="31"/>
              <w:contextualSpacing/>
              <w:jc w:val="right"/>
              <w:rPr>
                <w:rFonts w:ascii="PermianSerifTypeface" w:hAnsi="PermianSerifTypeface"/>
                <w:b/>
              </w:rPr>
            </w:pPr>
            <w:r w:rsidRPr="00402D1A">
              <w:rPr>
                <w:rFonts w:ascii="PermianSerifTypeface" w:hAnsi="PermianSerifTypeface"/>
                <w:b/>
                <w:bCs/>
                <w:lang w:val="ro-MD"/>
              </w:rPr>
              <w:t>(700 760)</w:t>
            </w:r>
          </w:p>
        </w:tc>
        <w:tc>
          <w:tcPr>
            <w:tcW w:w="1277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E35BB52" w14:textId="2A579CD4" w:rsidR="00402D1A" w:rsidRPr="00402D1A" w:rsidRDefault="00402D1A" w:rsidP="00402D1A">
            <w:pPr>
              <w:ind w:left="31"/>
              <w:contextualSpacing/>
              <w:jc w:val="right"/>
              <w:rPr>
                <w:rFonts w:ascii="PermianSerifTypeface" w:hAnsi="PermianSerifTypeface"/>
                <w:b/>
              </w:rPr>
            </w:pPr>
            <w:r w:rsidRPr="00402D1A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(2 226 710)</w:t>
            </w:r>
          </w:p>
        </w:tc>
        <w:tc>
          <w:tcPr>
            <w:tcW w:w="284" w:type="dxa"/>
            <w:vAlign w:val="center"/>
          </w:tcPr>
          <w:p w14:paraId="1E6021D7" w14:textId="77777777" w:rsidR="00402D1A" w:rsidRPr="00402D1A" w:rsidRDefault="00402D1A" w:rsidP="00402D1A">
            <w:pPr>
              <w:ind w:left="31"/>
              <w:contextualSpacing/>
              <w:jc w:val="right"/>
              <w:rPr>
                <w:rFonts w:ascii="PermianSerifTypeface" w:hAnsi="PermianSerifTypeface"/>
                <w:b/>
              </w:rPr>
            </w:pPr>
          </w:p>
        </w:tc>
        <w:tc>
          <w:tcPr>
            <w:tcW w:w="1132" w:type="dxa"/>
            <w:tcBorders>
              <w:top w:val="single" w:sz="4" w:space="0" w:color="808080"/>
              <w:bottom w:val="single" w:sz="4" w:space="0" w:color="808080"/>
            </w:tcBorders>
            <w:vAlign w:val="center"/>
          </w:tcPr>
          <w:p w14:paraId="68FF020E" w14:textId="7E2848FA" w:rsidR="00402D1A" w:rsidRPr="00402D1A" w:rsidRDefault="00402D1A" w:rsidP="00402D1A">
            <w:pPr>
              <w:ind w:left="31"/>
              <w:contextualSpacing/>
              <w:jc w:val="right"/>
              <w:rPr>
                <w:rFonts w:ascii="PermianSerifTypeface" w:hAnsi="PermianSerifTypeface"/>
                <w:b/>
              </w:rPr>
            </w:pPr>
            <w:r w:rsidRPr="00402D1A">
              <w:rPr>
                <w:rFonts w:ascii="PermianSerifTypeface" w:hAnsi="PermianSerifTypeface"/>
                <w:b/>
                <w:bCs/>
                <w:lang w:val="ro-MD"/>
              </w:rPr>
              <w:t>(702 059)</w:t>
            </w:r>
          </w:p>
        </w:tc>
        <w:tc>
          <w:tcPr>
            <w:tcW w:w="1276" w:type="dxa"/>
            <w:tcBorders>
              <w:top w:val="single" w:sz="4" w:space="0" w:color="808080"/>
              <w:bottom w:val="single" w:sz="4" w:space="0" w:color="808080"/>
            </w:tcBorders>
            <w:noWrap/>
            <w:vAlign w:val="center"/>
          </w:tcPr>
          <w:p w14:paraId="19FEC1D5" w14:textId="6A84A876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402D1A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(2 228 010)</w:t>
            </w:r>
          </w:p>
        </w:tc>
      </w:tr>
      <w:tr w:rsidR="00402D1A" w:rsidRPr="005C3EA9" w14:paraId="0FA334E9" w14:textId="77777777" w:rsidTr="00874620">
        <w:trPr>
          <w:trHeight w:val="57"/>
        </w:trPr>
        <w:tc>
          <w:tcPr>
            <w:tcW w:w="5529" w:type="dxa"/>
            <w:noWrap/>
            <w:vAlign w:val="bottom"/>
          </w:tcPr>
          <w:p w14:paraId="1905B374" w14:textId="77777777" w:rsidR="00402D1A" w:rsidRPr="005C3EA9" w:rsidRDefault="00402D1A" w:rsidP="00402D1A">
            <w:pPr>
              <w:ind w:right="-120"/>
              <w:rPr>
                <w:rFonts w:ascii="PermianSerifTypeface" w:hAnsi="PermianSerifTypeface"/>
                <w:lang w:val="ro-MD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Other similar expenses</w:t>
            </w:r>
          </w:p>
        </w:tc>
        <w:tc>
          <w:tcPr>
            <w:tcW w:w="1134" w:type="dxa"/>
            <w:tcBorders>
              <w:top w:val="single" w:sz="4" w:space="0" w:color="808080"/>
              <w:bottom w:val="nil"/>
            </w:tcBorders>
            <w:vAlign w:val="center"/>
          </w:tcPr>
          <w:p w14:paraId="563D8F23" w14:textId="7E3FAAA1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/>
                <w:bCs/>
                <w:lang w:val="ro-MD"/>
              </w:rPr>
              <w:t>(229)</w:t>
            </w:r>
          </w:p>
        </w:tc>
        <w:tc>
          <w:tcPr>
            <w:tcW w:w="1277" w:type="dxa"/>
            <w:tcBorders>
              <w:top w:val="single" w:sz="4" w:space="0" w:color="808080"/>
              <w:bottom w:val="nil"/>
            </w:tcBorders>
            <w:vAlign w:val="center"/>
          </w:tcPr>
          <w:p w14:paraId="12A90351" w14:textId="6B81D4AD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(277)</w:t>
            </w:r>
          </w:p>
        </w:tc>
        <w:tc>
          <w:tcPr>
            <w:tcW w:w="284" w:type="dxa"/>
            <w:vAlign w:val="center"/>
          </w:tcPr>
          <w:p w14:paraId="78F0E67B" w14:textId="77777777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4CC6F565" w14:textId="6EC8EA27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/>
                <w:bCs/>
                <w:lang w:val="ro-MD"/>
              </w:rPr>
              <w:t>(147)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center"/>
          </w:tcPr>
          <w:p w14:paraId="07C0EF26" w14:textId="2CCBDD5E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(151)</w:t>
            </w:r>
          </w:p>
        </w:tc>
      </w:tr>
      <w:tr w:rsidR="00356370" w:rsidRPr="005C3EA9" w14:paraId="41C5C970" w14:textId="77777777" w:rsidTr="00874620">
        <w:trPr>
          <w:trHeight w:val="57"/>
        </w:trPr>
        <w:tc>
          <w:tcPr>
            <w:tcW w:w="5529" w:type="dxa"/>
            <w:noWrap/>
            <w:vAlign w:val="bottom"/>
          </w:tcPr>
          <w:p w14:paraId="00653166" w14:textId="77777777" w:rsidR="00356370" w:rsidRPr="005C3EA9" w:rsidRDefault="00356370" w:rsidP="00402D1A">
            <w:pPr>
              <w:ind w:right="-120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4" w:type="dxa"/>
            <w:tcBorders>
              <w:top w:val="nil"/>
              <w:bottom w:val="single" w:sz="4" w:space="0" w:color="auto"/>
            </w:tcBorders>
            <w:vAlign w:val="center"/>
          </w:tcPr>
          <w:p w14:paraId="4524BDD7" w14:textId="77777777" w:rsidR="00356370" w:rsidRPr="00402D1A" w:rsidRDefault="00356370" w:rsidP="00402D1A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277" w:type="dxa"/>
            <w:tcBorders>
              <w:top w:val="nil"/>
              <w:bottom w:val="single" w:sz="4" w:space="0" w:color="auto"/>
            </w:tcBorders>
            <w:vAlign w:val="center"/>
          </w:tcPr>
          <w:p w14:paraId="2D93CC41" w14:textId="77777777" w:rsidR="00356370" w:rsidRPr="00402D1A" w:rsidRDefault="00356370" w:rsidP="00402D1A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</w:p>
        </w:tc>
        <w:tc>
          <w:tcPr>
            <w:tcW w:w="284" w:type="dxa"/>
            <w:vAlign w:val="center"/>
          </w:tcPr>
          <w:p w14:paraId="1A0FB81A" w14:textId="77777777" w:rsidR="00356370" w:rsidRPr="00402D1A" w:rsidRDefault="00356370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681672CB" w14:textId="77777777" w:rsidR="00356370" w:rsidRPr="00402D1A" w:rsidRDefault="00356370" w:rsidP="00402D1A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276" w:type="dxa"/>
            <w:tcBorders>
              <w:bottom w:val="nil"/>
            </w:tcBorders>
            <w:noWrap/>
            <w:vAlign w:val="center"/>
          </w:tcPr>
          <w:p w14:paraId="403EBC2C" w14:textId="77777777" w:rsidR="00356370" w:rsidRPr="00402D1A" w:rsidRDefault="00356370" w:rsidP="00402D1A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</w:p>
        </w:tc>
      </w:tr>
      <w:tr w:rsidR="00402D1A" w:rsidRPr="005C3EA9" w14:paraId="6EC3CB15" w14:textId="77777777" w:rsidTr="00874620">
        <w:trPr>
          <w:trHeight w:val="57"/>
        </w:trPr>
        <w:tc>
          <w:tcPr>
            <w:tcW w:w="5529" w:type="dxa"/>
            <w:noWrap/>
          </w:tcPr>
          <w:p w14:paraId="033199A7" w14:textId="26E907C0" w:rsidR="00402D1A" w:rsidRPr="005C3EA9" w:rsidRDefault="00402D1A" w:rsidP="00402D1A">
            <w:pPr>
              <w:ind w:right="-120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bCs/>
                <w:lang w:val="en-US"/>
              </w:rPr>
              <w:t xml:space="preserve">Net </w:t>
            </w:r>
            <w:r>
              <w:rPr>
                <w:rFonts w:ascii="PermianSerifTypeface" w:hAnsi="PermianSerifTypeface"/>
                <w:b/>
                <w:bCs/>
                <w:lang w:val="en-US"/>
              </w:rPr>
              <w:t xml:space="preserve">interest </w:t>
            </w:r>
            <w:r w:rsidR="000D06BA">
              <w:rPr>
                <w:rFonts w:ascii="PermianSerifTypeface" w:hAnsi="PermianSerifTypeface"/>
                <w:b/>
                <w:bCs/>
                <w:lang w:val="en-US"/>
              </w:rPr>
              <w:t>income/</w:t>
            </w:r>
            <w:r w:rsidR="00874620">
              <w:rPr>
                <w:rFonts w:ascii="PermianSerifTypeface" w:hAnsi="PermianSerifTypeface"/>
                <w:b/>
                <w:bCs/>
                <w:lang w:val="en-US"/>
              </w:rPr>
              <w:t>(</w:t>
            </w:r>
            <w:r>
              <w:rPr>
                <w:rFonts w:ascii="PermianSerifTypeface" w:hAnsi="PermianSerifTypeface"/>
                <w:b/>
                <w:bCs/>
                <w:lang w:val="en-US"/>
              </w:rPr>
              <w:t>expenses</w:t>
            </w:r>
            <w:r w:rsidR="00874620">
              <w:rPr>
                <w:rFonts w:ascii="PermianSerifTypeface" w:hAnsi="PermianSerifTypeface"/>
                <w:b/>
                <w:bCs/>
                <w:lang w:val="en-US"/>
              </w:rPr>
              <w:t>)</w:t>
            </w:r>
            <w:r>
              <w:rPr>
                <w:rFonts w:ascii="PermianSerifTypeface" w:hAnsi="PermianSerifTypeface"/>
                <w:b/>
                <w:bCs/>
                <w:lang w:val="en-US"/>
              </w:rPr>
              <w:t xml:space="preserve"> and other similar</w:t>
            </w:r>
            <w:r w:rsidR="000D06BA">
              <w:rPr>
                <w:rFonts w:ascii="PermianSerifTypeface" w:hAnsi="PermianSerifTypeface"/>
                <w:b/>
                <w:bCs/>
                <w:lang w:val="en-US"/>
              </w:rPr>
              <w:t xml:space="preserve"> </w:t>
            </w:r>
            <w:r>
              <w:rPr>
                <w:rFonts w:ascii="PermianSerifTypeface" w:hAnsi="PermianSerifTypeface"/>
                <w:b/>
                <w:bCs/>
                <w:lang w:val="en-US"/>
              </w:rPr>
              <w:t>expenses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8" w:space="0" w:color="808080"/>
            </w:tcBorders>
            <w:vAlign w:val="center"/>
          </w:tcPr>
          <w:p w14:paraId="57437BE2" w14:textId="23F83B16" w:rsidR="00402D1A" w:rsidRPr="00402D1A" w:rsidRDefault="00402D1A" w:rsidP="00402D1A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Arial"/>
                <w:b/>
                <w:color w:val="000000"/>
                <w:lang w:val="ro-MD"/>
              </w:rPr>
              <w:t>1 603 783</w:t>
            </w:r>
          </w:p>
        </w:tc>
        <w:tc>
          <w:tcPr>
            <w:tcW w:w="1277" w:type="dxa"/>
            <w:tcBorders>
              <w:top w:val="single" w:sz="4" w:space="0" w:color="auto"/>
              <w:bottom w:val="single" w:sz="8" w:space="0" w:color="808080"/>
            </w:tcBorders>
            <w:vAlign w:val="center"/>
          </w:tcPr>
          <w:p w14:paraId="52F474E0" w14:textId="04FF8FF7" w:rsidR="00402D1A" w:rsidRPr="00402D1A" w:rsidRDefault="00402D1A" w:rsidP="00402D1A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Arial"/>
                <w:b/>
                <w:color w:val="000000"/>
                <w:lang w:val="ro-MD"/>
              </w:rPr>
              <w:t>(230 272)</w:t>
            </w:r>
          </w:p>
        </w:tc>
        <w:tc>
          <w:tcPr>
            <w:tcW w:w="284" w:type="dxa"/>
            <w:vAlign w:val="center"/>
          </w:tcPr>
          <w:p w14:paraId="0734A52C" w14:textId="77777777" w:rsidR="00402D1A" w:rsidRPr="00402D1A" w:rsidRDefault="00402D1A" w:rsidP="00402D1A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132" w:type="dxa"/>
            <w:tcBorders>
              <w:top w:val="single" w:sz="8" w:space="0" w:color="808080"/>
              <w:bottom w:val="single" w:sz="8" w:space="0" w:color="808080"/>
            </w:tcBorders>
            <w:vAlign w:val="center"/>
          </w:tcPr>
          <w:p w14:paraId="09B13CC3" w14:textId="5B42A975" w:rsidR="00402D1A" w:rsidRPr="00402D1A" w:rsidRDefault="00402D1A" w:rsidP="00402D1A">
            <w:pPr>
              <w:tabs>
                <w:tab w:val="left" w:pos="1712"/>
              </w:tabs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Arial"/>
                <w:b/>
                <w:bCs/>
                <w:color w:val="000000"/>
                <w:lang w:val="ro-MD"/>
              </w:rPr>
              <w:t>1 601 488</w:t>
            </w:r>
          </w:p>
        </w:tc>
        <w:tc>
          <w:tcPr>
            <w:tcW w:w="1276" w:type="dxa"/>
            <w:tcBorders>
              <w:top w:val="single" w:sz="8" w:space="0" w:color="808080"/>
              <w:bottom w:val="single" w:sz="8" w:space="0" w:color="808080"/>
            </w:tcBorders>
            <w:noWrap/>
            <w:vAlign w:val="center"/>
          </w:tcPr>
          <w:p w14:paraId="6F74CC05" w14:textId="276BC639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402D1A">
              <w:rPr>
                <w:rFonts w:ascii="PermianSerifTypeface" w:hAnsi="PermianSerifTypeface" w:cs="Arial"/>
                <w:b/>
                <w:color w:val="000000"/>
                <w:lang w:val="ro-MD"/>
              </w:rPr>
              <w:t>(233 645)</w:t>
            </w:r>
          </w:p>
        </w:tc>
      </w:tr>
      <w:tr w:rsidR="00402D1A" w:rsidRPr="005C3EA9" w14:paraId="1247BE1F" w14:textId="77777777" w:rsidTr="00874620">
        <w:trPr>
          <w:trHeight w:val="57"/>
        </w:trPr>
        <w:tc>
          <w:tcPr>
            <w:tcW w:w="5529" w:type="dxa"/>
            <w:noWrap/>
          </w:tcPr>
          <w:p w14:paraId="6852DACA" w14:textId="7185B90A" w:rsidR="00402D1A" w:rsidRPr="005C3EA9" w:rsidRDefault="001735F0" w:rsidP="00402D1A">
            <w:pPr>
              <w:ind w:right="-120"/>
              <w:rPr>
                <w:rFonts w:ascii="PermianSerifTypeface" w:hAnsi="PermianSerifTypeface"/>
                <w:lang w:val="en-US"/>
              </w:rPr>
            </w:pPr>
            <w:r>
              <w:rPr>
                <w:rFonts w:ascii="PermianSerifTypeface" w:hAnsi="PermianSerifTypeface"/>
                <w:lang w:val="en-US"/>
              </w:rPr>
              <w:t>G</w:t>
            </w:r>
            <w:r w:rsidR="00402D1A" w:rsidRPr="005C3EA9">
              <w:rPr>
                <w:rFonts w:ascii="PermianSerifTypeface" w:hAnsi="PermianSerifTypeface"/>
                <w:lang w:val="en-US"/>
              </w:rPr>
              <w:t>ains</w:t>
            </w:r>
            <w:r>
              <w:rPr>
                <w:rFonts w:ascii="PermianSerifTypeface" w:hAnsi="PermianSerifTypeface"/>
                <w:lang w:val="en-US"/>
              </w:rPr>
              <w:t>/(losses)</w:t>
            </w:r>
            <w:r w:rsidR="00402D1A" w:rsidRPr="005C3EA9">
              <w:rPr>
                <w:rFonts w:ascii="PermianSerifTypeface" w:hAnsi="PermianSerifTypeface"/>
                <w:lang w:val="en-US"/>
              </w:rPr>
              <w:t xml:space="preserve"> from transactions, exchange rate differences and revaluation of precious metals</w:t>
            </w:r>
          </w:p>
        </w:tc>
        <w:tc>
          <w:tcPr>
            <w:tcW w:w="1134" w:type="dxa"/>
            <w:vAlign w:val="center"/>
          </w:tcPr>
          <w:p w14:paraId="1CEDEBA3" w14:textId="6CA02E94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/>
                <w:bCs/>
                <w:lang w:val="ro-MD"/>
              </w:rPr>
              <w:t>1 578 160</w:t>
            </w:r>
          </w:p>
        </w:tc>
        <w:tc>
          <w:tcPr>
            <w:tcW w:w="1277" w:type="dxa"/>
            <w:vAlign w:val="center"/>
          </w:tcPr>
          <w:p w14:paraId="6E758A7A" w14:textId="5827D49B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(2 698 172)</w:t>
            </w:r>
          </w:p>
        </w:tc>
        <w:tc>
          <w:tcPr>
            <w:tcW w:w="284" w:type="dxa"/>
            <w:vAlign w:val="center"/>
          </w:tcPr>
          <w:p w14:paraId="2E4E685A" w14:textId="77777777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2" w:type="dxa"/>
            <w:vAlign w:val="center"/>
          </w:tcPr>
          <w:p w14:paraId="11060C41" w14:textId="0B142D6E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1 578 156</w:t>
            </w:r>
          </w:p>
        </w:tc>
        <w:tc>
          <w:tcPr>
            <w:tcW w:w="1276" w:type="dxa"/>
            <w:noWrap/>
            <w:vAlign w:val="center"/>
          </w:tcPr>
          <w:p w14:paraId="3010DF00" w14:textId="201F96C0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(2 698 202)</w:t>
            </w:r>
          </w:p>
        </w:tc>
      </w:tr>
      <w:tr w:rsidR="00402D1A" w:rsidRPr="005C3EA9" w14:paraId="5A890687" w14:textId="77777777" w:rsidTr="00874620">
        <w:trPr>
          <w:trHeight w:val="57"/>
        </w:trPr>
        <w:tc>
          <w:tcPr>
            <w:tcW w:w="5529" w:type="dxa"/>
            <w:noWrap/>
          </w:tcPr>
          <w:p w14:paraId="65556ACD" w14:textId="3A7DBC2D" w:rsidR="00402D1A" w:rsidRPr="005C3EA9" w:rsidRDefault="00402D1A" w:rsidP="00402D1A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Losses from financial instruments measured at fair value through profit and loss</w:t>
            </w:r>
          </w:p>
        </w:tc>
        <w:tc>
          <w:tcPr>
            <w:tcW w:w="1134" w:type="dxa"/>
            <w:vAlign w:val="center"/>
          </w:tcPr>
          <w:p w14:paraId="271910AB" w14:textId="76E709A8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 xml:space="preserve">-   </w:t>
            </w:r>
          </w:p>
        </w:tc>
        <w:tc>
          <w:tcPr>
            <w:tcW w:w="1277" w:type="dxa"/>
            <w:vAlign w:val="center"/>
          </w:tcPr>
          <w:p w14:paraId="07A12DF1" w14:textId="186A5DEE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(15 929)</w:t>
            </w:r>
          </w:p>
        </w:tc>
        <w:tc>
          <w:tcPr>
            <w:tcW w:w="284" w:type="dxa"/>
            <w:vAlign w:val="center"/>
          </w:tcPr>
          <w:p w14:paraId="4D6C2468" w14:textId="77777777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2" w:type="dxa"/>
            <w:vAlign w:val="center"/>
          </w:tcPr>
          <w:p w14:paraId="48BD89EA" w14:textId="43A23C84" w:rsidR="00402D1A" w:rsidRPr="00402D1A" w:rsidRDefault="00402D1A" w:rsidP="00402D1A">
            <w:pPr>
              <w:jc w:val="right"/>
              <w:rPr>
                <w:rFonts w:ascii="PermianSerifTypeface" w:hAnsi="PermianSerifTypeface" w:cs="Calibri"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 xml:space="preserve">-   </w:t>
            </w:r>
          </w:p>
        </w:tc>
        <w:tc>
          <w:tcPr>
            <w:tcW w:w="1276" w:type="dxa"/>
            <w:noWrap/>
            <w:vAlign w:val="center"/>
          </w:tcPr>
          <w:p w14:paraId="2A60B192" w14:textId="41F8719D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(15 929)</w:t>
            </w:r>
          </w:p>
        </w:tc>
      </w:tr>
      <w:tr w:rsidR="00402D1A" w:rsidRPr="005C3EA9" w14:paraId="19B9DB0D" w14:textId="77777777" w:rsidTr="00874620">
        <w:trPr>
          <w:trHeight w:val="57"/>
        </w:trPr>
        <w:tc>
          <w:tcPr>
            <w:tcW w:w="5529" w:type="dxa"/>
            <w:noWrap/>
            <w:vAlign w:val="bottom"/>
          </w:tcPr>
          <w:p w14:paraId="5E90E3D6" w14:textId="04A52350" w:rsidR="00402D1A" w:rsidRPr="005C3EA9" w:rsidRDefault="00402D1A" w:rsidP="00402D1A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 xml:space="preserve">Losses from securities revaluation </w:t>
            </w:r>
          </w:p>
        </w:tc>
        <w:tc>
          <w:tcPr>
            <w:tcW w:w="1134" w:type="dxa"/>
            <w:vAlign w:val="center"/>
          </w:tcPr>
          <w:p w14:paraId="77816041" w14:textId="732B6FD2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(45 040)</w:t>
            </w:r>
          </w:p>
        </w:tc>
        <w:tc>
          <w:tcPr>
            <w:tcW w:w="1277" w:type="dxa"/>
            <w:vAlign w:val="center"/>
          </w:tcPr>
          <w:p w14:paraId="3956A3D0" w14:textId="646DB8AF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/>
                <w:lang w:val="ro-MD"/>
              </w:rPr>
              <w:t>(118 704)</w:t>
            </w:r>
          </w:p>
        </w:tc>
        <w:tc>
          <w:tcPr>
            <w:tcW w:w="284" w:type="dxa"/>
            <w:vAlign w:val="center"/>
          </w:tcPr>
          <w:p w14:paraId="4BD72253" w14:textId="77777777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2" w:type="dxa"/>
            <w:vAlign w:val="center"/>
          </w:tcPr>
          <w:p w14:paraId="174CBA19" w14:textId="6052F2E8" w:rsidR="00402D1A" w:rsidRPr="00402D1A" w:rsidRDefault="00402D1A" w:rsidP="00402D1A">
            <w:pPr>
              <w:jc w:val="right"/>
              <w:rPr>
                <w:rFonts w:ascii="PermianSerifTypeface" w:hAnsi="PermianSerifTypeface" w:cs="Calibri"/>
                <w:color w:val="000000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(45 040)</w:t>
            </w:r>
          </w:p>
        </w:tc>
        <w:tc>
          <w:tcPr>
            <w:tcW w:w="1276" w:type="dxa"/>
            <w:noWrap/>
            <w:vAlign w:val="center"/>
          </w:tcPr>
          <w:p w14:paraId="758C12CB" w14:textId="693D863F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/>
                <w:lang w:val="ro-MD"/>
              </w:rPr>
              <w:t>(118 704)</w:t>
            </w:r>
          </w:p>
        </w:tc>
      </w:tr>
      <w:tr w:rsidR="00402D1A" w:rsidRPr="005C3EA9" w14:paraId="45DBB8C5" w14:textId="77777777" w:rsidTr="00874620">
        <w:trPr>
          <w:trHeight w:val="57"/>
        </w:trPr>
        <w:tc>
          <w:tcPr>
            <w:tcW w:w="5529" w:type="dxa"/>
            <w:noWrap/>
          </w:tcPr>
          <w:p w14:paraId="55CC56BD" w14:textId="77777777" w:rsidR="00402D1A" w:rsidRPr="005C3EA9" w:rsidRDefault="00402D1A" w:rsidP="00402D1A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Other income</w:t>
            </w:r>
          </w:p>
        </w:tc>
        <w:tc>
          <w:tcPr>
            <w:tcW w:w="1134" w:type="dxa"/>
            <w:vAlign w:val="center"/>
          </w:tcPr>
          <w:p w14:paraId="78178757" w14:textId="7854022A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/>
                <w:bCs/>
                <w:lang w:val="ro-MD"/>
              </w:rPr>
              <w:t>35 351</w:t>
            </w:r>
          </w:p>
        </w:tc>
        <w:tc>
          <w:tcPr>
            <w:tcW w:w="1277" w:type="dxa"/>
            <w:vAlign w:val="center"/>
          </w:tcPr>
          <w:p w14:paraId="39B01FBF" w14:textId="49E3F8F2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/>
                <w:lang w:val="ro-MD"/>
              </w:rPr>
              <w:t xml:space="preserve">29 127 </w:t>
            </w:r>
          </w:p>
        </w:tc>
        <w:tc>
          <w:tcPr>
            <w:tcW w:w="284" w:type="dxa"/>
            <w:vAlign w:val="center"/>
          </w:tcPr>
          <w:p w14:paraId="34BEC811" w14:textId="77777777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160DFA50" w14:textId="49D24723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31 702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center"/>
          </w:tcPr>
          <w:p w14:paraId="31488324" w14:textId="22FFE0C9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/>
                <w:lang w:val="ro-MD"/>
              </w:rPr>
              <w:t>26 108</w:t>
            </w:r>
          </w:p>
        </w:tc>
      </w:tr>
      <w:tr w:rsidR="00402D1A" w:rsidRPr="005C3EA9" w14:paraId="5BC6C108" w14:textId="77777777" w:rsidTr="00874620">
        <w:trPr>
          <w:trHeight w:val="57"/>
        </w:trPr>
        <w:tc>
          <w:tcPr>
            <w:tcW w:w="5529" w:type="dxa"/>
            <w:noWrap/>
            <w:vAlign w:val="bottom"/>
          </w:tcPr>
          <w:p w14:paraId="325C2EB6" w14:textId="2DA4E615" w:rsidR="00402D1A" w:rsidRPr="005C3EA9" w:rsidRDefault="00402D1A" w:rsidP="00402D1A">
            <w:pPr>
              <w:ind w:right="-120"/>
              <w:rPr>
                <w:rFonts w:ascii="PermianSerifTypeface" w:hAnsi="PermianSerifTypeface"/>
                <w:lang w:val="en-US"/>
              </w:rPr>
            </w:pPr>
            <w:r>
              <w:rPr>
                <w:rFonts w:ascii="PermianSerifTypeface" w:hAnsi="PermianSerifTypeface"/>
                <w:lang w:val="en-US"/>
              </w:rPr>
              <w:t>Impairment losses</w:t>
            </w:r>
            <w:r w:rsidRPr="005C3EA9">
              <w:rPr>
                <w:rFonts w:ascii="PermianSerifTypeface" w:hAnsi="PermianSerifTypeface"/>
                <w:lang w:val="en-US"/>
              </w:rPr>
              <w:t xml:space="preserve"> on financial assets</w:t>
            </w:r>
          </w:p>
        </w:tc>
        <w:tc>
          <w:tcPr>
            <w:tcW w:w="1134" w:type="dxa"/>
            <w:vAlign w:val="center"/>
          </w:tcPr>
          <w:p w14:paraId="57FCC671" w14:textId="4D5F350B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/>
                <w:bCs/>
                <w:lang w:val="ro-MD"/>
              </w:rPr>
              <w:t>(2 903)</w:t>
            </w:r>
          </w:p>
        </w:tc>
        <w:tc>
          <w:tcPr>
            <w:tcW w:w="1277" w:type="dxa"/>
            <w:vAlign w:val="center"/>
          </w:tcPr>
          <w:p w14:paraId="1755C282" w14:textId="5882BF69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/>
                <w:lang w:val="ro-MD"/>
              </w:rPr>
              <w:t>(3 480)</w:t>
            </w:r>
          </w:p>
        </w:tc>
        <w:tc>
          <w:tcPr>
            <w:tcW w:w="284" w:type="dxa"/>
            <w:vAlign w:val="center"/>
          </w:tcPr>
          <w:p w14:paraId="5013A674" w14:textId="77777777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1CE596F2" w14:textId="2AF605DF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(2 908)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center"/>
          </w:tcPr>
          <w:p w14:paraId="2EDC7D7C" w14:textId="3B4C16FA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/>
                <w:lang w:val="ro-MD"/>
              </w:rPr>
              <w:t>(3 481)</w:t>
            </w:r>
          </w:p>
        </w:tc>
      </w:tr>
      <w:tr w:rsidR="00402D1A" w:rsidRPr="005C3EA9" w14:paraId="707D49D8" w14:textId="77777777" w:rsidTr="00874620">
        <w:trPr>
          <w:trHeight w:val="57"/>
        </w:trPr>
        <w:tc>
          <w:tcPr>
            <w:tcW w:w="5529" w:type="dxa"/>
            <w:noWrap/>
          </w:tcPr>
          <w:p w14:paraId="72E83894" w14:textId="77777777" w:rsidR="00402D1A" w:rsidRPr="005C3EA9" w:rsidRDefault="00402D1A" w:rsidP="00402D1A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Personnel expenses</w:t>
            </w:r>
          </w:p>
        </w:tc>
        <w:tc>
          <w:tcPr>
            <w:tcW w:w="1134" w:type="dxa"/>
            <w:vAlign w:val="center"/>
          </w:tcPr>
          <w:p w14:paraId="1FE63D31" w14:textId="711A3BED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/>
                <w:bCs/>
                <w:lang w:val="ro-MD"/>
              </w:rPr>
              <w:t>(185 234)</w:t>
            </w:r>
          </w:p>
        </w:tc>
        <w:tc>
          <w:tcPr>
            <w:tcW w:w="1277" w:type="dxa"/>
            <w:vAlign w:val="center"/>
          </w:tcPr>
          <w:p w14:paraId="5EC64C7A" w14:textId="1679DB67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(148 312)</w:t>
            </w:r>
          </w:p>
        </w:tc>
        <w:tc>
          <w:tcPr>
            <w:tcW w:w="284" w:type="dxa"/>
            <w:vAlign w:val="center"/>
          </w:tcPr>
          <w:p w14:paraId="7870CFB0" w14:textId="77777777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1ADC9E4F" w14:textId="5BE2ABE6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(181 238)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center"/>
          </w:tcPr>
          <w:p w14:paraId="1CB1EA7C" w14:textId="21E97A36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(144 752)</w:t>
            </w:r>
          </w:p>
        </w:tc>
      </w:tr>
      <w:tr w:rsidR="00402D1A" w:rsidRPr="005C3EA9" w14:paraId="0E33A7F2" w14:textId="77777777" w:rsidTr="00874620">
        <w:trPr>
          <w:trHeight w:val="57"/>
        </w:trPr>
        <w:tc>
          <w:tcPr>
            <w:tcW w:w="5529" w:type="dxa"/>
            <w:noWrap/>
          </w:tcPr>
          <w:p w14:paraId="1186E985" w14:textId="77777777" w:rsidR="00402D1A" w:rsidRPr="005C3EA9" w:rsidRDefault="00402D1A" w:rsidP="00402D1A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Production of national currency</w:t>
            </w:r>
          </w:p>
        </w:tc>
        <w:tc>
          <w:tcPr>
            <w:tcW w:w="1134" w:type="dxa"/>
            <w:vAlign w:val="center"/>
          </w:tcPr>
          <w:p w14:paraId="019E6E44" w14:textId="1502336D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/>
                <w:bCs/>
                <w:lang w:val="ro-MD"/>
              </w:rPr>
              <w:t>(23 221)</w:t>
            </w:r>
          </w:p>
        </w:tc>
        <w:tc>
          <w:tcPr>
            <w:tcW w:w="1277" w:type="dxa"/>
            <w:vAlign w:val="center"/>
          </w:tcPr>
          <w:p w14:paraId="35F8E7AB" w14:textId="107B8CDB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(134)</w:t>
            </w:r>
          </w:p>
        </w:tc>
        <w:tc>
          <w:tcPr>
            <w:tcW w:w="284" w:type="dxa"/>
            <w:vAlign w:val="center"/>
          </w:tcPr>
          <w:p w14:paraId="28DC511B" w14:textId="77777777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272050C7" w14:textId="6ED76022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(23 221)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center"/>
          </w:tcPr>
          <w:p w14:paraId="1DC79F36" w14:textId="578FE97E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(134)</w:t>
            </w:r>
          </w:p>
        </w:tc>
      </w:tr>
      <w:tr w:rsidR="00402D1A" w:rsidRPr="005C3EA9" w14:paraId="7EFAE157" w14:textId="77777777" w:rsidTr="00874620">
        <w:trPr>
          <w:trHeight w:val="57"/>
        </w:trPr>
        <w:tc>
          <w:tcPr>
            <w:tcW w:w="5529" w:type="dxa"/>
            <w:noWrap/>
          </w:tcPr>
          <w:p w14:paraId="6EBEB3C5" w14:textId="77777777" w:rsidR="00402D1A" w:rsidRPr="005C3EA9" w:rsidRDefault="00402D1A" w:rsidP="00402D1A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 xml:space="preserve">Depreciation and </w:t>
            </w:r>
            <w:proofErr w:type="spellStart"/>
            <w:r w:rsidRPr="005C3EA9">
              <w:rPr>
                <w:rFonts w:ascii="PermianSerifTypeface" w:hAnsi="PermianSerifTypeface"/>
                <w:lang w:val="en-US"/>
              </w:rPr>
              <w:t>amortisation</w:t>
            </w:r>
            <w:proofErr w:type="spellEnd"/>
          </w:p>
        </w:tc>
        <w:tc>
          <w:tcPr>
            <w:tcW w:w="1134" w:type="dxa"/>
            <w:vAlign w:val="center"/>
          </w:tcPr>
          <w:p w14:paraId="13D1D82D" w14:textId="46FD6B67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/>
                <w:bCs/>
                <w:lang w:val="ro-MD"/>
              </w:rPr>
              <w:t>(16 852)</w:t>
            </w:r>
          </w:p>
        </w:tc>
        <w:tc>
          <w:tcPr>
            <w:tcW w:w="1277" w:type="dxa"/>
            <w:vAlign w:val="center"/>
          </w:tcPr>
          <w:p w14:paraId="745EF655" w14:textId="030E2617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(16 520)</w:t>
            </w:r>
          </w:p>
        </w:tc>
        <w:tc>
          <w:tcPr>
            <w:tcW w:w="284" w:type="dxa"/>
            <w:vAlign w:val="center"/>
          </w:tcPr>
          <w:p w14:paraId="7A1D1FB9" w14:textId="77777777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2" w:type="dxa"/>
            <w:tcBorders>
              <w:bottom w:val="nil"/>
            </w:tcBorders>
            <w:vAlign w:val="center"/>
          </w:tcPr>
          <w:p w14:paraId="4A56FE5B" w14:textId="50D7E166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(16 607)</w:t>
            </w:r>
          </w:p>
        </w:tc>
        <w:tc>
          <w:tcPr>
            <w:tcW w:w="1276" w:type="dxa"/>
            <w:tcBorders>
              <w:bottom w:val="nil"/>
            </w:tcBorders>
            <w:noWrap/>
            <w:vAlign w:val="center"/>
          </w:tcPr>
          <w:p w14:paraId="0668D688" w14:textId="04EEE3DF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(16 242)</w:t>
            </w:r>
          </w:p>
        </w:tc>
      </w:tr>
      <w:tr w:rsidR="00402D1A" w:rsidRPr="005C3EA9" w14:paraId="3BCE5699" w14:textId="77777777" w:rsidTr="00874620">
        <w:trPr>
          <w:trHeight w:val="57"/>
        </w:trPr>
        <w:tc>
          <w:tcPr>
            <w:tcW w:w="5529" w:type="dxa"/>
            <w:noWrap/>
          </w:tcPr>
          <w:p w14:paraId="79A3C0CF" w14:textId="77777777" w:rsidR="00402D1A" w:rsidRPr="005C3EA9" w:rsidRDefault="00402D1A" w:rsidP="00402D1A">
            <w:pPr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t>Other operating expenses</w:t>
            </w:r>
          </w:p>
        </w:tc>
        <w:tc>
          <w:tcPr>
            <w:tcW w:w="1134" w:type="dxa"/>
            <w:tcBorders>
              <w:bottom w:val="single" w:sz="12" w:space="0" w:color="808080"/>
            </w:tcBorders>
            <w:vAlign w:val="center"/>
          </w:tcPr>
          <w:p w14:paraId="2AA54118" w14:textId="5BA89603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/>
                <w:bCs/>
                <w:lang w:val="ro-MD"/>
              </w:rPr>
              <w:t>(34 673)</w:t>
            </w:r>
          </w:p>
        </w:tc>
        <w:tc>
          <w:tcPr>
            <w:tcW w:w="1277" w:type="dxa"/>
            <w:tcBorders>
              <w:bottom w:val="single" w:sz="12" w:space="0" w:color="808080"/>
            </w:tcBorders>
            <w:vAlign w:val="center"/>
          </w:tcPr>
          <w:p w14:paraId="20BF0F2F" w14:textId="6D8FCD2D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(29 982)</w:t>
            </w:r>
          </w:p>
        </w:tc>
        <w:tc>
          <w:tcPr>
            <w:tcW w:w="284" w:type="dxa"/>
            <w:vAlign w:val="center"/>
          </w:tcPr>
          <w:p w14:paraId="5CB65344" w14:textId="77777777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2" w:type="dxa"/>
            <w:tcBorders>
              <w:bottom w:val="single" w:sz="12" w:space="0" w:color="808080"/>
            </w:tcBorders>
            <w:vAlign w:val="center"/>
          </w:tcPr>
          <w:p w14:paraId="59A545B2" w14:textId="40BF1A41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(33 875)</w:t>
            </w:r>
          </w:p>
        </w:tc>
        <w:tc>
          <w:tcPr>
            <w:tcW w:w="1276" w:type="dxa"/>
            <w:tcBorders>
              <w:bottom w:val="single" w:sz="12" w:space="0" w:color="808080"/>
            </w:tcBorders>
            <w:noWrap/>
            <w:vAlign w:val="center"/>
          </w:tcPr>
          <w:p w14:paraId="346FB061" w14:textId="7E5F0075" w:rsidR="00402D1A" w:rsidRPr="00402D1A" w:rsidRDefault="00402D1A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(29 110)</w:t>
            </w:r>
          </w:p>
        </w:tc>
      </w:tr>
      <w:tr w:rsidR="00356370" w:rsidRPr="005C3EA9" w14:paraId="0FCC3166" w14:textId="77777777" w:rsidTr="00874620">
        <w:trPr>
          <w:trHeight w:val="57"/>
        </w:trPr>
        <w:tc>
          <w:tcPr>
            <w:tcW w:w="5529" w:type="dxa"/>
            <w:noWrap/>
          </w:tcPr>
          <w:p w14:paraId="4D1F0F83" w14:textId="77777777" w:rsidR="00356370" w:rsidRPr="005C3EA9" w:rsidRDefault="00356370" w:rsidP="00402D1A">
            <w:pPr>
              <w:ind w:right="-120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4" w:type="dxa"/>
            <w:tcBorders>
              <w:top w:val="single" w:sz="12" w:space="0" w:color="808080"/>
              <w:bottom w:val="nil"/>
            </w:tcBorders>
            <w:vAlign w:val="center"/>
          </w:tcPr>
          <w:p w14:paraId="3BA2E763" w14:textId="77777777" w:rsidR="00356370" w:rsidRPr="00402D1A" w:rsidRDefault="00356370" w:rsidP="00402D1A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</w:p>
        </w:tc>
        <w:tc>
          <w:tcPr>
            <w:tcW w:w="1277" w:type="dxa"/>
            <w:tcBorders>
              <w:top w:val="single" w:sz="12" w:space="0" w:color="808080"/>
              <w:bottom w:val="nil"/>
            </w:tcBorders>
            <w:vAlign w:val="center"/>
          </w:tcPr>
          <w:p w14:paraId="73938FC9" w14:textId="77777777" w:rsidR="00356370" w:rsidRPr="00402D1A" w:rsidRDefault="00356370" w:rsidP="00402D1A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</w:p>
        </w:tc>
        <w:tc>
          <w:tcPr>
            <w:tcW w:w="284" w:type="dxa"/>
            <w:vAlign w:val="center"/>
          </w:tcPr>
          <w:p w14:paraId="7F001584" w14:textId="77777777" w:rsidR="00356370" w:rsidRPr="00402D1A" w:rsidRDefault="00356370" w:rsidP="00402D1A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132" w:type="dxa"/>
            <w:tcBorders>
              <w:top w:val="single" w:sz="12" w:space="0" w:color="808080"/>
              <w:bottom w:val="nil"/>
            </w:tcBorders>
            <w:vAlign w:val="center"/>
          </w:tcPr>
          <w:p w14:paraId="414660C4" w14:textId="77777777" w:rsidR="00356370" w:rsidRPr="00402D1A" w:rsidRDefault="00356370" w:rsidP="00402D1A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43FB03C3" w14:textId="77777777" w:rsidR="00356370" w:rsidRPr="00402D1A" w:rsidRDefault="00356370" w:rsidP="00402D1A">
            <w:pPr>
              <w:jc w:val="right"/>
              <w:rPr>
                <w:rFonts w:ascii="PermianSerifTypeface" w:hAnsi="PermianSerifTypeface" w:cs="Calibri"/>
                <w:color w:val="000000"/>
                <w:lang w:val="ro-MD"/>
              </w:rPr>
            </w:pPr>
          </w:p>
        </w:tc>
      </w:tr>
      <w:tr w:rsidR="00402D1A" w:rsidRPr="005C3EA9" w14:paraId="4AF23E2F" w14:textId="77777777" w:rsidTr="00874620">
        <w:trPr>
          <w:trHeight w:val="57"/>
        </w:trPr>
        <w:tc>
          <w:tcPr>
            <w:tcW w:w="5529" w:type="dxa"/>
            <w:tcBorders>
              <w:bottom w:val="nil"/>
            </w:tcBorders>
            <w:noWrap/>
            <w:vAlign w:val="bottom"/>
          </w:tcPr>
          <w:p w14:paraId="2D95F0F5" w14:textId="79BB0CA5" w:rsidR="00402D1A" w:rsidRPr="005C3EA9" w:rsidRDefault="00402D1A" w:rsidP="00402D1A">
            <w:pPr>
              <w:ind w:right="-120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en-US"/>
              </w:rPr>
              <w:t xml:space="preserve">NET </w:t>
            </w:r>
            <w:r w:rsidR="001735F0">
              <w:rPr>
                <w:rFonts w:ascii="PermianSerifTypeface" w:hAnsi="PermianSerifTypeface"/>
                <w:b/>
                <w:lang w:val="en-US"/>
              </w:rPr>
              <w:t>PROFIT/</w:t>
            </w:r>
            <w:r w:rsidRPr="005C3EA9">
              <w:rPr>
                <w:rFonts w:ascii="PermianSerifTypeface" w:hAnsi="PermianSerifTypeface"/>
                <w:b/>
                <w:lang w:val="en-US"/>
              </w:rPr>
              <w:t>(LOSS)</w:t>
            </w:r>
          </w:p>
        </w:tc>
        <w:tc>
          <w:tcPr>
            <w:tcW w:w="1134" w:type="dxa"/>
            <w:tcBorders>
              <w:top w:val="nil"/>
              <w:bottom w:val="single" w:sz="12" w:space="0" w:color="808080"/>
            </w:tcBorders>
            <w:vAlign w:val="center"/>
          </w:tcPr>
          <w:p w14:paraId="60813DCA" w14:textId="1DA18856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402D1A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2 909 371</w:t>
            </w:r>
          </w:p>
        </w:tc>
        <w:tc>
          <w:tcPr>
            <w:tcW w:w="1277" w:type="dxa"/>
            <w:tcBorders>
              <w:top w:val="nil"/>
              <w:bottom w:val="single" w:sz="12" w:space="0" w:color="808080"/>
            </w:tcBorders>
            <w:vAlign w:val="center"/>
          </w:tcPr>
          <w:p w14:paraId="592C6B23" w14:textId="58F7FA39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402D1A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(3 232 378)</w:t>
            </w:r>
          </w:p>
        </w:tc>
        <w:tc>
          <w:tcPr>
            <w:tcW w:w="284" w:type="dxa"/>
            <w:tcBorders>
              <w:bottom w:val="nil"/>
            </w:tcBorders>
            <w:vAlign w:val="center"/>
          </w:tcPr>
          <w:p w14:paraId="1817081E" w14:textId="7777777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1132" w:type="dxa"/>
            <w:tcBorders>
              <w:top w:val="nil"/>
              <w:bottom w:val="single" w:sz="12" w:space="0" w:color="808080"/>
            </w:tcBorders>
            <w:vAlign w:val="center"/>
          </w:tcPr>
          <w:p w14:paraId="469F17AD" w14:textId="3C47324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402D1A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2 908 457</w:t>
            </w:r>
          </w:p>
        </w:tc>
        <w:tc>
          <w:tcPr>
            <w:tcW w:w="1276" w:type="dxa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605C2B33" w14:textId="126091E8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402D1A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(3 234 091)</w:t>
            </w:r>
          </w:p>
        </w:tc>
      </w:tr>
      <w:tr w:rsidR="00402D1A" w:rsidRPr="005C3EA9" w14:paraId="1FB5B825" w14:textId="77777777" w:rsidTr="00874620">
        <w:trPr>
          <w:trHeight w:val="57"/>
        </w:trPr>
        <w:tc>
          <w:tcPr>
            <w:tcW w:w="5529" w:type="dxa"/>
            <w:tcBorders>
              <w:top w:val="nil"/>
              <w:bottom w:val="nil"/>
            </w:tcBorders>
            <w:noWrap/>
            <w:vAlign w:val="bottom"/>
          </w:tcPr>
          <w:p w14:paraId="4A48782D" w14:textId="77777777" w:rsidR="00402D1A" w:rsidRPr="005C3EA9" w:rsidRDefault="00402D1A" w:rsidP="00402D1A">
            <w:pPr>
              <w:ind w:left="179" w:right="-120"/>
              <w:rPr>
                <w:rFonts w:ascii="PermianSerifTypeface" w:hAnsi="PermianSerifTypeface"/>
                <w:b/>
                <w:lang w:val="en-US"/>
              </w:rPr>
            </w:pPr>
            <w:proofErr w:type="spellStart"/>
            <w:r w:rsidRPr="005C3EA9">
              <w:rPr>
                <w:rFonts w:ascii="PermianSerifTypeface" w:hAnsi="PermianSerifTypeface"/>
                <w:lang w:val="ro-MD"/>
              </w:rPr>
              <w:t>From</w:t>
            </w:r>
            <w:proofErr w:type="spellEnd"/>
            <w:r w:rsidRPr="005C3EA9">
              <w:rPr>
                <w:rFonts w:ascii="PermianSerifTypeface" w:hAnsi="PermianSerifTypeface"/>
                <w:lang w:val="ro-MD"/>
              </w:rPr>
              <w:t xml:space="preserve"> Bank</w:t>
            </w:r>
            <w:r w:rsidRPr="005C3EA9">
              <w:rPr>
                <w:rFonts w:ascii="PermianSerifTypeface" w:hAnsi="PermianSerifTypeface"/>
                <w:lang w:val="en-US"/>
              </w:rPr>
              <w:t>’s activity</w:t>
            </w:r>
          </w:p>
        </w:tc>
        <w:tc>
          <w:tcPr>
            <w:tcW w:w="1134" w:type="dxa"/>
            <w:tcBorders>
              <w:top w:val="single" w:sz="12" w:space="0" w:color="808080"/>
              <w:bottom w:val="nil"/>
            </w:tcBorders>
            <w:vAlign w:val="center"/>
          </w:tcPr>
          <w:p w14:paraId="34E47740" w14:textId="1DCA2908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/>
                <w:lang w:val="ro-MD"/>
              </w:rPr>
              <w:t>2 908 457</w:t>
            </w:r>
          </w:p>
        </w:tc>
        <w:tc>
          <w:tcPr>
            <w:tcW w:w="1277" w:type="dxa"/>
            <w:tcBorders>
              <w:top w:val="single" w:sz="12" w:space="0" w:color="808080"/>
              <w:bottom w:val="nil"/>
            </w:tcBorders>
            <w:vAlign w:val="center"/>
          </w:tcPr>
          <w:p w14:paraId="3BBF9610" w14:textId="6F94D0C6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(3 234 091)</w:t>
            </w:r>
          </w:p>
        </w:tc>
        <w:tc>
          <w:tcPr>
            <w:tcW w:w="284" w:type="dxa"/>
            <w:tcBorders>
              <w:top w:val="nil"/>
              <w:bottom w:val="nil"/>
            </w:tcBorders>
            <w:vAlign w:val="center"/>
          </w:tcPr>
          <w:p w14:paraId="3FECA60D" w14:textId="7777777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1132" w:type="dxa"/>
            <w:tcBorders>
              <w:top w:val="single" w:sz="12" w:space="0" w:color="808080"/>
              <w:bottom w:val="nil"/>
            </w:tcBorders>
            <w:vAlign w:val="center"/>
          </w:tcPr>
          <w:p w14:paraId="74AB0A13" w14:textId="3B1A36F6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/>
                <w:lang w:val="ro-MD"/>
              </w:rPr>
              <w:t>2 908 457</w:t>
            </w:r>
          </w:p>
        </w:tc>
        <w:tc>
          <w:tcPr>
            <w:tcW w:w="1276" w:type="dxa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60AE746F" w14:textId="77BB5F18" w:rsidR="00402D1A" w:rsidRPr="00402D1A" w:rsidDel="00A22DCE" w:rsidRDefault="00402D1A" w:rsidP="00402D1A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 w:cs="Calibri"/>
                <w:color w:val="000000"/>
                <w:lang w:val="ro-MD"/>
              </w:rPr>
              <w:t>(3 234 091)</w:t>
            </w:r>
          </w:p>
        </w:tc>
      </w:tr>
      <w:tr w:rsidR="00402D1A" w:rsidRPr="005C3EA9" w14:paraId="5A6D7E58" w14:textId="77777777" w:rsidTr="00874620">
        <w:trPr>
          <w:trHeight w:val="57"/>
        </w:trPr>
        <w:tc>
          <w:tcPr>
            <w:tcW w:w="5529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bottom"/>
          </w:tcPr>
          <w:p w14:paraId="1966138C" w14:textId="77777777" w:rsidR="00402D1A" w:rsidRPr="005C3EA9" w:rsidRDefault="00402D1A" w:rsidP="00402D1A">
            <w:pPr>
              <w:ind w:left="179" w:right="-120"/>
              <w:rPr>
                <w:rFonts w:ascii="PermianSerifTypeface" w:hAnsi="PermianSerifTypeface"/>
                <w:b/>
                <w:lang w:val="en-US"/>
              </w:rPr>
            </w:pPr>
            <w:proofErr w:type="spellStart"/>
            <w:r w:rsidRPr="005C3EA9">
              <w:rPr>
                <w:rFonts w:ascii="PermianSerifTypeface" w:hAnsi="PermianSerifTypeface"/>
                <w:lang w:val="ro-MD"/>
              </w:rPr>
              <w:t>From</w:t>
            </w:r>
            <w:proofErr w:type="spellEnd"/>
            <w:r w:rsidRPr="005C3EA9">
              <w:rPr>
                <w:rFonts w:ascii="PermianSerifTypeface" w:hAnsi="PermianSerifTypeface"/>
                <w:lang w:val="ro-MD"/>
              </w:rPr>
              <w:t xml:space="preserve"> </w:t>
            </w:r>
            <w:proofErr w:type="spellStart"/>
            <w:r w:rsidRPr="005C3EA9">
              <w:rPr>
                <w:rFonts w:ascii="PermianSerifTypeface" w:hAnsi="PermianSerifTypeface"/>
                <w:lang w:val="ro-MD"/>
              </w:rPr>
              <w:t>subsidiary’s</w:t>
            </w:r>
            <w:proofErr w:type="spellEnd"/>
            <w:r w:rsidRPr="005C3EA9">
              <w:rPr>
                <w:rFonts w:ascii="PermianSerifTypeface" w:hAnsi="PermianSerifTypeface"/>
                <w:lang w:val="ro-MD"/>
              </w:rPr>
              <w:t xml:space="preserve"> </w:t>
            </w:r>
            <w:proofErr w:type="spellStart"/>
            <w:r w:rsidRPr="005C3EA9">
              <w:rPr>
                <w:rFonts w:ascii="PermianSerifTypeface" w:hAnsi="PermianSerifTypeface"/>
                <w:lang w:val="ro-MD"/>
              </w:rPr>
              <w:t>activity</w:t>
            </w:r>
            <w:proofErr w:type="spellEnd"/>
          </w:p>
        </w:tc>
        <w:tc>
          <w:tcPr>
            <w:tcW w:w="1134" w:type="dxa"/>
            <w:tcBorders>
              <w:top w:val="nil"/>
              <w:bottom w:val="single" w:sz="12" w:space="0" w:color="A6A6A6" w:themeColor="background1" w:themeShade="A6"/>
            </w:tcBorders>
            <w:vAlign w:val="center"/>
          </w:tcPr>
          <w:p w14:paraId="73DC6D4E" w14:textId="6A3C12DA" w:rsidR="00402D1A" w:rsidRPr="009106D6" w:rsidRDefault="00402D1A" w:rsidP="009106D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9106D6">
              <w:rPr>
                <w:rFonts w:ascii="PermianSerifTypeface" w:hAnsi="PermianSerifTypeface"/>
                <w:bCs/>
                <w:lang w:val="ro-MD"/>
              </w:rPr>
              <w:t>914</w:t>
            </w:r>
          </w:p>
        </w:tc>
        <w:tc>
          <w:tcPr>
            <w:tcW w:w="1277" w:type="dxa"/>
            <w:tcBorders>
              <w:top w:val="nil"/>
              <w:bottom w:val="single" w:sz="12" w:space="0" w:color="A6A6A6" w:themeColor="background1" w:themeShade="A6"/>
            </w:tcBorders>
            <w:vAlign w:val="center"/>
          </w:tcPr>
          <w:p w14:paraId="6A5A2D10" w14:textId="1DAC2E35" w:rsidR="00402D1A" w:rsidRPr="009106D6" w:rsidRDefault="00402D1A" w:rsidP="009106D6">
            <w:pPr>
              <w:jc w:val="right"/>
              <w:rPr>
                <w:rFonts w:ascii="PermianSerifTypeface" w:hAnsi="PermianSerifTypeface"/>
                <w:bCs/>
                <w:lang w:val="ro-MD"/>
              </w:rPr>
            </w:pPr>
            <w:r w:rsidRPr="009106D6">
              <w:rPr>
                <w:rFonts w:ascii="PermianSerifTypeface" w:hAnsi="PermianSerifTypeface"/>
                <w:bCs/>
                <w:lang w:val="ro-MD"/>
              </w:rPr>
              <w:t xml:space="preserve"> 1 713 </w:t>
            </w:r>
          </w:p>
        </w:tc>
        <w:tc>
          <w:tcPr>
            <w:tcW w:w="284" w:type="dxa"/>
            <w:tcBorders>
              <w:top w:val="nil"/>
              <w:bottom w:val="single" w:sz="12" w:space="0" w:color="A6A6A6" w:themeColor="background1" w:themeShade="A6"/>
            </w:tcBorders>
            <w:vAlign w:val="center"/>
          </w:tcPr>
          <w:p w14:paraId="207FB607" w14:textId="77777777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1132" w:type="dxa"/>
            <w:tcBorders>
              <w:top w:val="nil"/>
              <w:bottom w:val="single" w:sz="12" w:space="0" w:color="A6A6A6" w:themeColor="background1" w:themeShade="A6"/>
            </w:tcBorders>
            <w:vAlign w:val="center"/>
          </w:tcPr>
          <w:p w14:paraId="5E76DDA4" w14:textId="71756824" w:rsidR="00402D1A" w:rsidRPr="00402D1A" w:rsidRDefault="00402D1A" w:rsidP="00402D1A">
            <w:pPr>
              <w:ind w:left="-60"/>
              <w:jc w:val="right"/>
              <w:rPr>
                <w:rFonts w:ascii="PermianSerifTypeface" w:hAnsi="PermianSerifTypeface"/>
                <w:lang w:val="en-US"/>
              </w:rPr>
            </w:pPr>
            <w:r w:rsidRPr="00402D1A">
              <w:rPr>
                <w:rFonts w:ascii="PermianSerifTypeface" w:hAnsi="PermianSerifTypeface"/>
                <w:bCs/>
                <w:lang w:val="ro-MD"/>
              </w:rPr>
              <w:t>-</w:t>
            </w:r>
          </w:p>
        </w:tc>
        <w:tc>
          <w:tcPr>
            <w:tcW w:w="1276" w:type="dxa"/>
            <w:tcBorders>
              <w:top w:val="nil"/>
              <w:bottom w:val="single" w:sz="12" w:space="0" w:color="A6A6A6" w:themeColor="background1" w:themeShade="A6"/>
            </w:tcBorders>
            <w:noWrap/>
            <w:vAlign w:val="center"/>
          </w:tcPr>
          <w:p w14:paraId="1121D823" w14:textId="40291275" w:rsidR="00402D1A" w:rsidRPr="00402D1A" w:rsidDel="00A22DCE" w:rsidRDefault="00402D1A" w:rsidP="00402D1A">
            <w:pPr>
              <w:ind w:left="-60"/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402D1A">
              <w:rPr>
                <w:rFonts w:ascii="PermianSerifTypeface" w:hAnsi="PermianSerifTypeface"/>
                <w:lang w:val="ro-MD"/>
              </w:rPr>
              <w:t>-</w:t>
            </w:r>
          </w:p>
        </w:tc>
      </w:tr>
    </w:tbl>
    <w:p w14:paraId="0DEA0C12" w14:textId="77777777" w:rsidR="001E2FB9" w:rsidRPr="00DB6506" w:rsidRDefault="001E2FB9" w:rsidP="008E11B5">
      <w:pPr>
        <w:spacing w:after="0" w:line="240" w:lineRule="auto"/>
        <w:jc w:val="both"/>
        <w:rPr>
          <w:rFonts w:ascii="PermianSerifTypeface" w:eastAsia="Times New Roman" w:hAnsi="PermianSerifTypeface" w:cs="Times New Roman"/>
          <w:lang w:val="en-US"/>
        </w:rPr>
      </w:pPr>
    </w:p>
    <w:p w14:paraId="5C860E5C" w14:textId="77777777" w:rsidR="001E2FB9" w:rsidRPr="00DB6506" w:rsidRDefault="001E2FB9" w:rsidP="008E11B5">
      <w:pPr>
        <w:spacing w:after="0" w:line="240" w:lineRule="auto"/>
        <w:jc w:val="both"/>
        <w:rPr>
          <w:rFonts w:ascii="PermianSerifTypeface" w:eastAsia="Times New Roman" w:hAnsi="PermianSerifTypeface" w:cs="Times New Roman"/>
          <w:lang w:val="en-US"/>
        </w:rPr>
      </w:pPr>
    </w:p>
    <w:tbl>
      <w:tblPr>
        <w:tblStyle w:val="TableGridLight"/>
        <w:tblpPr w:leftFromText="180" w:rightFromText="180" w:vertAnchor="text" w:horzAnchor="margin" w:tblpX="-710" w:tblpY="99"/>
        <w:tblW w:w="10354" w:type="dxa"/>
        <w:tblBorders>
          <w:bottom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4823"/>
        <w:gridCol w:w="1276"/>
        <w:gridCol w:w="1278"/>
        <w:gridCol w:w="283"/>
        <w:gridCol w:w="1276"/>
        <w:gridCol w:w="1418"/>
      </w:tblGrid>
      <w:tr w:rsidR="000D390B" w:rsidRPr="005C3EA9" w14:paraId="6A223AF9" w14:textId="77777777" w:rsidTr="00C20E29">
        <w:trPr>
          <w:trHeight w:val="99"/>
        </w:trPr>
        <w:tc>
          <w:tcPr>
            <w:tcW w:w="4823" w:type="dxa"/>
            <w:noWrap/>
          </w:tcPr>
          <w:p w14:paraId="63853F5C" w14:textId="77777777" w:rsidR="000D390B" w:rsidRPr="005C3EA9" w:rsidRDefault="000D390B" w:rsidP="00C20E29">
            <w:pPr>
              <w:ind w:right="-120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lang w:val="en-US"/>
              </w:rPr>
              <w:lastRenderedPageBreak/>
              <w:br w:type="page"/>
            </w:r>
          </w:p>
        </w:tc>
        <w:tc>
          <w:tcPr>
            <w:tcW w:w="2554" w:type="dxa"/>
            <w:gridSpan w:val="2"/>
            <w:tcBorders>
              <w:bottom w:val="single" w:sz="8" w:space="0" w:color="808080"/>
            </w:tcBorders>
            <w:vAlign w:val="center"/>
          </w:tcPr>
          <w:p w14:paraId="6E2E31F4" w14:textId="77777777" w:rsidR="000D390B" w:rsidRPr="005C3EA9" w:rsidRDefault="000D390B" w:rsidP="00C20E29">
            <w:pPr>
              <w:ind w:left="-96"/>
              <w:jc w:val="center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CONSOLIDATED</w:t>
            </w:r>
          </w:p>
        </w:tc>
        <w:tc>
          <w:tcPr>
            <w:tcW w:w="283" w:type="dxa"/>
            <w:vAlign w:val="center"/>
          </w:tcPr>
          <w:p w14:paraId="7D3F5E24" w14:textId="77777777" w:rsidR="000D390B" w:rsidRPr="005C3EA9" w:rsidRDefault="000D390B" w:rsidP="00C20E29">
            <w:pPr>
              <w:ind w:left="-96"/>
              <w:jc w:val="center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2694" w:type="dxa"/>
            <w:gridSpan w:val="2"/>
            <w:tcBorders>
              <w:top w:val="nil"/>
              <w:bottom w:val="single" w:sz="8" w:space="0" w:color="808080"/>
            </w:tcBorders>
            <w:vAlign w:val="center"/>
          </w:tcPr>
          <w:p w14:paraId="030B78B4" w14:textId="77777777" w:rsidR="000D390B" w:rsidRPr="005C3EA9" w:rsidRDefault="000D390B" w:rsidP="00C20E29">
            <w:pPr>
              <w:ind w:left="-96"/>
              <w:jc w:val="center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BANK</w:t>
            </w:r>
          </w:p>
        </w:tc>
      </w:tr>
      <w:tr w:rsidR="000D390B" w:rsidRPr="005C3EA9" w14:paraId="66EA27C7" w14:textId="77777777" w:rsidTr="00C20E29">
        <w:trPr>
          <w:trHeight w:val="99"/>
        </w:trPr>
        <w:tc>
          <w:tcPr>
            <w:tcW w:w="4823" w:type="dxa"/>
            <w:tcBorders>
              <w:bottom w:val="nil"/>
            </w:tcBorders>
            <w:noWrap/>
          </w:tcPr>
          <w:p w14:paraId="3E3D5B65" w14:textId="77777777" w:rsidR="000D390B" w:rsidRPr="005C3EA9" w:rsidRDefault="000D390B" w:rsidP="00C20E29">
            <w:pPr>
              <w:ind w:right="-120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8080"/>
              <w:bottom w:val="single" w:sz="8" w:space="0" w:color="808080"/>
            </w:tcBorders>
          </w:tcPr>
          <w:p w14:paraId="29B92178" w14:textId="77777777" w:rsidR="000D390B" w:rsidRPr="005C3EA9" w:rsidRDefault="000D390B" w:rsidP="00C20E29">
            <w:pPr>
              <w:ind w:left="-21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 xml:space="preserve">30 June  </w:t>
            </w:r>
          </w:p>
          <w:p w14:paraId="3E45C9AB" w14:textId="1476301A" w:rsidR="000D390B" w:rsidRPr="005C3EA9" w:rsidRDefault="000D390B" w:rsidP="00C20E29">
            <w:pPr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202</w:t>
            </w:r>
            <w:r w:rsidR="006F25EE">
              <w:rPr>
                <w:rFonts w:ascii="PermianSerifTypeface" w:hAnsi="PermianSerifTypeface"/>
                <w:b/>
                <w:lang w:val="ro-MD"/>
              </w:rPr>
              <w:t>4</w:t>
            </w:r>
          </w:p>
        </w:tc>
        <w:tc>
          <w:tcPr>
            <w:tcW w:w="1278" w:type="dxa"/>
            <w:tcBorders>
              <w:top w:val="single" w:sz="8" w:space="0" w:color="808080"/>
              <w:bottom w:val="single" w:sz="8" w:space="0" w:color="808080"/>
            </w:tcBorders>
          </w:tcPr>
          <w:p w14:paraId="16566D21" w14:textId="77777777" w:rsidR="000D390B" w:rsidRPr="005C3EA9" w:rsidRDefault="000D390B" w:rsidP="00C20E29">
            <w:pPr>
              <w:ind w:left="-21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 xml:space="preserve">30 June  </w:t>
            </w:r>
          </w:p>
          <w:p w14:paraId="0CA553D2" w14:textId="08901C95" w:rsidR="000D390B" w:rsidRPr="005C3EA9" w:rsidRDefault="000D390B" w:rsidP="00C20E29">
            <w:pPr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202</w:t>
            </w:r>
            <w:r w:rsidR="006F25EE">
              <w:rPr>
                <w:rFonts w:ascii="PermianSerifTypeface" w:hAnsi="PermianSerifTypeface"/>
                <w:b/>
                <w:lang w:val="ro-MD"/>
              </w:rPr>
              <w:t>3</w:t>
            </w:r>
          </w:p>
        </w:tc>
        <w:tc>
          <w:tcPr>
            <w:tcW w:w="283" w:type="dxa"/>
            <w:tcBorders>
              <w:bottom w:val="nil"/>
            </w:tcBorders>
          </w:tcPr>
          <w:p w14:paraId="3D8D680B" w14:textId="77777777" w:rsidR="000D390B" w:rsidRPr="005C3EA9" w:rsidRDefault="000D390B" w:rsidP="00C20E29">
            <w:pPr>
              <w:jc w:val="right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8080"/>
              <w:bottom w:val="nil"/>
            </w:tcBorders>
          </w:tcPr>
          <w:p w14:paraId="74DD5625" w14:textId="77777777" w:rsidR="000D390B" w:rsidRPr="005C3EA9" w:rsidRDefault="000D390B" w:rsidP="00C20E29">
            <w:pPr>
              <w:ind w:left="-21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 xml:space="preserve">30 June  </w:t>
            </w:r>
          </w:p>
          <w:p w14:paraId="6A3EB5B6" w14:textId="2D5D401A" w:rsidR="000D390B" w:rsidRPr="005C3EA9" w:rsidRDefault="000D390B" w:rsidP="00C20E29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202</w:t>
            </w:r>
            <w:r w:rsidR="006F25EE">
              <w:rPr>
                <w:rFonts w:ascii="PermianSerifTypeface" w:hAnsi="PermianSerifTypeface"/>
                <w:b/>
                <w:lang w:val="ro-MD"/>
              </w:rPr>
              <w:t>4</w:t>
            </w:r>
          </w:p>
        </w:tc>
        <w:tc>
          <w:tcPr>
            <w:tcW w:w="1418" w:type="dxa"/>
            <w:tcBorders>
              <w:top w:val="single" w:sz="8" w:space="0" w:color="808080"/>
              <w:bottom w:val="single" w:sz="8" w:space="0" w:color="808080"/>
            </w:tcBorders>
            <w:noWrap/>
          </w:tcPr>
          <w:p w14:paraId="02CDF318" w14:textId="77777777" w:rsidR="000D390B" w:rsidRPr="005C3EA9" w:rsidRDefault="000D390B" w:rsidP="00C20E29">
            <w:pPr>
              <w:ind w:left="-21"/>
              <w:jc w:val="right"/>
              <w:rPr>
                <w:rFonts w:ascii="PermianSerifTypeface" w:hAnsi="PermianSerifTypeface"/>
                <w:b/>
                <w:lang w:val="ro-MD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 xml:space="preserve">30 June  </w:t>
            </w:r>
          </w:p>
          <w:p w14:paraId="31F38961" w14:textId="1EFF133C" w:rsidR="000D390B" w:rsidRPr="005C3EA9" w:rsidRDefault="000D390B" w:rsidP="00C20E29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202</w:t>
            </w:r>
            <w:r w:rsidR="006F25EE">
              <w:rPr>
                <w:rFonts w:ascii="PermianSerifTypeface" w:hAnsi="PermianSerifTypeface"/>
                <w:b/>
                <w:lang w:val="ro-MD"/>
              </w:rPr>
              <w:t>3</w:t>
            </w:r>
          </w:p>
        </w:tc>
      </w:tr>
      <w:tr w:rsidR="000D390B" w:rsidRPr="005C3EA9" w14:paraId="3D04419C" w14:textId="77777777" w:rsidTr="00C20E29">
        <w:trPr>
          <w:trHeight w:val="99"/>
        </w:trPr>
        <w:tc>
          <w:tcPr>
            <w:tcW w:w="4823" w:type="dxa"/>
            <w:tcBorders>
              <w:top w:val="nil"/>
              <w:bottom w:val="nil"/>
            </w:tcBorders>
            <w:noWrap/>
          </w:tcPr>
          <w:p w14:paraId="4004F075" w14:textId="77777777" w:rsidR="000D390B" w:rsidRPr="005C3EA9" w:rsidRDefault="000D390B" w:rsidP="00C20E29">
            <w:pPr>
              <w:ind w:right="-120"/>
              <w:rPr>
                <w:rFonts w:ascii="PermianSerifTypeface" w:hAnsi="PermianSerifTypeface"/>
                <w:b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8080"/>
            </w:tcBorders>
          </w:tcPr>
          <w:p w14:paraId="71CB5F9C" w14:textId="77777777" w:rsidR="000D390B" w:rsidRPr="005C3EA9" w:rsidRDefault="000D390B" w:rsidP="00C20E29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MDL’000</w:t>
            </w:r>
          </w:p>
        </w:tc>
        <w:tc>
          <w:tcPr>
            <w:tcW w:w="1278" w:type="dxa"/>
            <w:tcBorders>
              <w:top w:val="single" w:sz="8" w:space="0" w:color="808080"/>
            </w:tcBorders>
          </w:tcPr>
          <w:p w14:paraId="221FE3CD" w14:textId="77777777" w:rsidR="000D390B" w:rsidRPr="005C3EA9" w:rsidRDefault="000D390B" w:rsidP="00C20E29">
            <w:pPr>
              <w:ind w:right="-113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MDL’000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C72FA54" w14:textId="77777777" w:rsidR="000D390B" w:rsidRPr="005C3EA9" w:rsidRDefault="000D390B" w:rsidP="00C20E29">
            <w:pPr>
              <w:ind w:right="-30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8080"/>
              <w:bottom w:val="nil"/>
            </w:tcBorders>
          </w:tcPr>
          <w:p w14:paraId="21FA2D9A" w14:textId="77777777" w:rsidR="000D390B" w:rsidRPr="005C3EA9" w:rsidRDefault="000D390B" w:rsidP="00C20E29">
            <w:pPr>
              <w:ind w:right="30"/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MDL’000</w:t>
            </w:r>
          </w:p>
        </w:tc>
        <w:tc>
          <w:tcPr>
            <w:tcW w:w="1418" w:type="dxa"/>
            <w:tcBorders>
              <w:top w:val="single" w:sz="8" w:space="0" w:color="808080"/>
              <w:bottom w:val="nil"/>
            </w:tcBorders>
            <w:noWrap/>
          </w:tcPr>
          <w:p w14:paraId="15B4328E" w14:textId="77777777" w:rsidR="000D390B" w:rsidRPr="005C3EA9" w:rsidRDefault="000D390B" w:rsidP="00C20E29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ro-MD"/>
              </w:rPr>
              <w:t>MDL’000</w:t>
            </w:r>
          </w:p>
        </w:tc>
      </w:tr>
      <w:tr w:rsidR="000D390B" w:rsidRPr="005C3EA9" w14:paraId="61BD9475" w14:textId="77777777" w:rsidTr="00C20E29">
        <w:trPr>
          <w:trHeight w:val="99"/>
        </w:trPr>
        <w:tc>
          <w:tcPr>
            <w:tcW w:w="4823" w:type="dxa"/>
            <w:tcBorders>
              <w:top w:val="nil"/>
            </w:tcBorders>
            <w:noWrap/>
          </w:tcPr>
          <w:p w14:paraId="6755D736" w14:textId="77777777" w:rsidR="000D390B" w:rsidRPr="005C3EA9" w:rsidRDefault="000D390B" w:rsidP="00C20E29">
            <w:pPr>
              <w:ind w:right="-120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bCs/>
                <w:lang w:val="en-US"/>
              </w:rPr>
              <w:t>Other comprehensive income</w:t>
            </w:r>
          </w:p>
        </w:tc>
        <w:tc>
          <w:tcPr>
            <w:tcW w:w="1276" w:type="dxa"/>
          </w:tcPr>
          <w:p w14:paraId="78F9D22A" w14:textId="77777777" w:rsidR="000D390B" w:rsidRPr="005C3EA9" w:rsidRDefault="000D390B" w:rsidP="00C20E29">
            <w:pPr>
              <w:ind w:right="-30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8" w:type="dxa"/>
          </w:tcPr>
          <w:p w14:paraId="2300885A" w14:textId="77777777" w:rsidR="000D390B" w:rsidRPr="005C3EA9" w:rsidRDefault="000D390B" w:rsidP="00C20E29">
            <w:pPr>
              <w:ind w:right="-30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283" w:type="dxa"/>
            <w:tcBorders>
              <w:top w:val="nil"/>
            </w:tcBorders>
          </w:tcPr>
          <w:p w14:paraId="667B982B" w14:textId="77777777" w:rsidR="000D390B" w:rsidRPr="005C3EA9" w:rsidRDefault="000D390B" w:rsidP="00C20E29">
            <w:pPr>
              <w:ind w:right="-30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6" w:type="dxa"/>
            <w:tcBorders>
              <w:top w:val="nil"/>
            </w:tcBorders>
            <w:vAlign w:val="bottom"/>
          </w:tcPr>
          <w:p w14:paraId="2E89A1A8" w14:textId="77777777" w:rsidR="000D390B" w:rsidRPr="005C3EA9" w:rsidRDefault="000D390B" w:rsidP="00C20E29">
            <w:pPr>
              <w:ind w:right="-30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418" w:type="dxa"/>
            <w:tcBorders>
              <w:top w:val="nil"/>
            </w:tcBorders>
            <w:noWrap/>
            <w:vAlign w:val="bottom"/>
          </w:tcPr>
          <w:p w14:paraId="710B836B" w14:textId="77777777" w:rsidR="000D390B" w:rsidRPr="005C3EA9" w:rsidRDefault="000D390B" w:rsidP="00C20E29">
            <w:pPr>
              <w:jc w:val="right"/>
              <w:rPr>
                <w:rFonts w:ascii="PermianSerifTypeface" w:hAnsi="PermianSerifTypeface"/>
                <w:lang w:val="en-US"/>
              </w:rPr>
            </w:pPr>
          </w:p>
        </w:tc>
      </w:tr>
      <w:tr w:rsidR="000D390B" w:rsidRPr="005C3EA9" w14:paraId="72BCF843" w14:textId="77777777" w:rsidTr="00C20E29">
        <w:trPr>
          <w:trHeight w:val="99"/>
        </w:trPr>
        <w:tc>
          <w:tcPr>
            <w:tcW w:w="4823" w:type="dxa"/>
            <w:noWrap/>
          </w:tcPr>
          <w:p w14:paraId="40F53E9F" w14:textId="77777777" w:rsidR="000D390B" w:rsidRPr="005A6A85" w:rsidRDefault="000D390B" w:rsidP="00C20E29">
            <w:pPr>
              <w:spacing w:before="60"/>
              <w:ind w:right="-300"/>
              <w:rPr>
                <w:rFonts w:ascii="PermianSerifTypeface" w:hAnsi="PermianSerifTypeface"/>
                <w:i/>
                <w:lang w:val="en-US"/>
              </w:rPr>
            </w:pPr>
            <w:r w:rsidRPr="005A6A85">
              <w:rPr>
                <w:rFonts w:ascii="PermianSerifTypeface" w:hAnsi="PermianSerifTypeface"/>
                <w:i/>
                <w:lang w:val="en-US"/>
              </w:rPr>
              <w:t xml:space="preserve">Items that are or may be reclassified </w:t>
            </w:r>
          </w:p>
          <w:p w14:paraId="1B7025BE" w14:textId="77777777" w:rsidR="000D390B" w:rsidRPr="005C3EA9" w:rsidRDefault="000D390B" w:rsidP="005A6A85">
            <w:pPr>
              <w:ind w:right="-119"/>
              <w:rPr>
                <w:rFonts w:ascii="PermianSerifTypeface" w:hAnsi="PermianSerifTypeface"/>
                <w:lang w:val="en-US"/>
              </w:rPr>
            </w:pPr>
            <w:r w:rsidRPr="005A6A85">
              <w:rPr>
                <w:rFonts w:ascii="PermianSerifTypeface" w:hAnsi="PermianSerifTypeface"/>
                <w:i/>
                <w:lang w:val="en-US"/>
              </w:rPr>
              <w:t>subsequently to profit or loss</w:t>
            </w:r>
          </w:p>
        </w:tc>
        <w:tc>
          <w:tcPr>
            <w:tcW w:w="1276" w:type="dxa"/>
          </w:tcPr>
          <w:p w14:paraId="08093D05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8" w:type="dxa"/>
          </w:tcPr>
          <w:p w14:paraId="65769818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283" w:type="dxa"/>
          </w:tcPr>
          <w:p w14:paraId="11B5C22A" w14:textId="77777777" w:rsidR="000D390B" w:rsidRPr="005C3EA9" w:rsidDel="00204EC3" w:rsidRDefault="000D390B" w:rsidP="00C20E29">
            <w:pPr>
              <w:spacing w:before="6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04E678E3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418" w:type="dxa"/>
            <w:noWrap/>
            <w:vAlign w:val="center"/>
          </w:tcPr>
          <w:p w14:paraId="18B855B6" w14:textId="77777777" w:rsidR="000D390B" w:rsidRPr="005C3EA9" w:rsidRDefault="000D390B" w:rsidP="00C20E29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</w:p>
        </w:tc>
      </w:tr>
      <w:tr w:rsidR="00356370" w:rsidRPr="005C3EA9" w14:paraId="093A04E1" w14:textId="77777777" w:rsidTr="00C20E29">
        <w:trPr>
          <w:trHeight w:val="99"/>
        </w:trPr>
        <w:tc>
          <w:tcPr>
            <w:tcW w:w="4823" w:type="dxa"/>
            <w:noWrap/>
          </w:tcPr>
          <w:p w14:paraId="568D17AD" w14:textId="77777777" w:rsidR="00356370" w:rsidRPr="005C3EA9" w:rsidRDefault="00356370" w:rsidP="00356370">
            <w:pPr>
              <w:spacing w:before="60"/>
              <w:ind w:right="-120"/>
              <w:rPr>
                <w:rFonts w:ascii="PermianSerifTypeface" w:hAnsi="PermianSerifTypeface"/>
                <w:lang w:val="en-US"/>
              </w:rPr>
            </w:pPr>
            <w:r w:rsidRPr="005C3EA9">
              <w:rPr>
                <w:rFonts w:ascii="PermianSerifTypeface" w:hAnsi="PermianSerifTypeface"/>
                <w:bCs/>
                <w:lang w:val="en-US"/>
              </w:rPr>
              <w:t>Revaluation of foreign currency securities measured at fair value through other comprehensive income</w:t>
            </w:r>
          </w:p>
        </w:tc>
        <w:tc>
          <w:tcPr>
            <w:tcW w:w="1276" w:type="dxa"/>
            <w:vAlign w:val="center"/>
          </w:tcPr>
          <w:p w14:paraId="03FE109C" w14:textId="5FC475A7" w:rsidR="00356370" w:rsidRPr="00356370" w:rsidRDefault="00356370" w:rsidP="00356370">
            <w:pPr>
              <w:spacing w:before="60"/>
              <w:jc w:val="right"/>
              <w:rPr>
                <w:rFonts w:ascii="PermianSerifTypeface" w:hAnsi="PermianSerifTypeface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>(237 865)</w:t>
            </w:r>
          </w:p>
        </w:tc>
        <w:tc>
          <w:tcPr>
            <w:tcW w:w="1278" w:type="dxa"/>
            <w:vAlign w:val="center"/>
          </w:tcPr>
          <w:p w14:paraId="44CFE6D8" w14:textId="0EE273A5" w:rsidR="00356370" w:rsidRPr="00356370" w:rsidRDefault="00356370" w:rsidP="00356370">
            <w:pPr>
              <w:spacing w:before="60"/>
              <w:jc w:val="right"/>
              <w:rPr>
                <w:rFonts w:ascii="PermianSerifTypeface" w:hAnsi="PermianSerifTypeface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>(245 664)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76D7D2D1" w14:textId="77777777" w:rsidR="00356370" w:rsidRPr="00356370" w:rsidRDefault="00356370" w:rsidP="00356370">
            <w:pPr>
              <w:spacing w:before="60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6" w:type="dxa"/>
            <w:vAlign w:val="center"/>
          </w:tcPr>
          <w:p w14:paraId="50BFA0C6" w14:textId="207B2A9B" w:rsidR="00356370" w:rsidRPr="00356370" w:rsidRDefault="00356370" w:rsidP="00356370">
            <w:pPr>
              <w:spacing w:before="60"/>
              <w:jc w:val="right"/>
              <w:rPr>
                <w:rFonts w:ascii="PermianSerifTypeface" w:hAnsi="PermianSerifTypeface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>(237 865)</w:t>
            </w:r>
          </w:p>
        </w:tc>
        <w:tc>
          <w:tcPr>
            <w:tcW w:w="1418" w:type="dxa"/>
            <w:noWrap/>
            <w:vAlign w:val="center"/>
          </w:tcPr>
          <w:p w14:paraId="6287A7B7" w14:textId="301E2F7C" w:rsidR="00356370" w:rsidRPr="00356370" w:rsidRDefault="00356370" w:rsidP="00356370">
            <w:pPr>
              <w:spacing w:before="60"/>
              <w:jc w:val="right"/>
              <w:rPr>
                <w:rFonts w:ascii="PermianSerifTypeface" w:hAnsi="PermianSerifTypeface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>(245 664)</w:t>
            </w:r>
          </w:p>
        </w:tc>
      </w:tr>
      <w:tr w:rsidR="00356370" w:rsidRPr="005C3EA9" w14:paraId="4FF1D999" w14:textId="77777777" w:rsidTr="00C20E29">
        <w:trPr>
          <w:trHeight w:val="99"/>
        </w:trPr>
        <w:tc>
          <w:tcPr>
            <w:tcW w:w="4823" w:type="dxa"/>
            <w:noWrap/>
          </w:tcPr>
          <w:p w14:paraId="11D9E6B6" w14:textId="77777777" w:rsidR="00356370" w:rsidRPr="005C3EA9" w:rsidRDefault="00356370" w:rsidP="00356370">
            <w:pPr>
              <w:spacing w:before="60"/>
              <w:rPr>
                <w:rFonts w:ascii="PermianSerifTypeface" w:hAnsi="PermianSerifTypeface"/>
                <w:color w:val="FF0000"/>
                <w:lang w:val="en-US"/>
              </w:rPr>
            </w:pPr>
            <w:r w:rsidRPr="005C3EA9">
              <w:rPr>
                <w:rFonts w:ascii="PermianSerifTypeface" w:hAnsi="PermianSerifTypeface"/>
                <w:bCs/>
                <w:color w:val="000000"/>
                <w:lang w:val="en-US"/>
              </w:rPr>
              <w:t>Exchange rate differences from revaluation of foreign currency securities measured at fair value through other comprehensive income</w:t>
            </w:r>
          </w:p>
        </w:tc>
        <w:tc>
          <w:tcPr>
            <w:tcW w:w="1276" w:type="dxa"/>
            <w:vAlign w:val="center"/>
          </w:tcPr>
          <w:p w14:paraId="643AC71F" w14:textId="11108436" w:rsidR="00356370" w:rsidRPr="00356370" w:rsidRDefault="00356370" w:rsidP="00356370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>(5 604)</w:t>
            </w:r>
          </w:p>
        </w:tc>
        <w:tc>
          <w:tcPr>
            <w:tcW w:w="1278" w:type="dxa"/>
            <w:vAlign w:val="center"/>
          </w:tcPr>
          <w:p w14:paraId="3DF5E407" w14:textId="41ACCF21" w:rsidR="00356370" w:rsidRPr="00356370" w:rsidRDefault="00356370" w:rsidP="00356370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 xml:space="preserve">1 148 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1D39AC5F" w14:textId="77777777" w:rsidR="00356370" w:rsidRPr="00356370" w:rsidRDefault="00356370" w:rsidP="00356370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48968B75" w14:textId="1D92F1B8" w:rsidR="00356370" w:rsidRPr="00356370" w:rsidRDefault="00356370" w:rsidP="00356370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>(5 604)</w:t>
            </w:r>
          </w:p>
        </w:tc>
        <w:tc>
          <w:tcPr>
            <w:tcW w:w="1418" w:type="dxa"/>
            <w:tcBorders>
              <w:bottom w:val="nil"/>
            </w:tcBorders>
            <w:noWrap/>
            <w:vAlign w:val="center"/>
          </w:tcPr>
          <w:p w14:paraId="5270E444" w14:textId="294FD352" w:rsidR="00356370" w:rsidRPr="00356370" w:rsidRDefault="00356370" w:rsidP="00356370">
            <w:pPr>
              <w:tabs>
                <w:tab w:val="right" w:pos="1861"/>
              </w:tabs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 xml:space="preserve">1 148 </w:t>
            </w:r>
          </w:p>
        </w:tc>
      </w:tr>
      <w:tr w:rsidR="00356370" w:rsidRPr="005C3EA9" w14:paraId="44DAC221" w14:textId="77777777" w:rsidTr="00874620">
        <w:trPr>
          <w:trHeight w:val="99"/>
        </w:trPr>
        <w:tc>
          <w:tcPr>
            <w:tcW w:w="4823" w:type="dxa"/>
            <w:tcBorders>
              <w:bottom w:val="nil"/>
            </w:tcBorders>
            <w:noWrap/>
          </w:tcPr>
          <w:p w14:paraId="0C3594B5" w14:textId="77777777" w:rsidR="00356370" w:rsidRPr="005C3EA9" w:rsidRDefault="00356370" w:rsidP="00356370">
            <w:pPr>
              <w:spacing w:before="60"/>
              <w:rPr>
                <w:rFonts w:ascii="PermianSerifTypeface" w:hAnsi="PermianSerifTypeface"/>
                <w:color w:val="000000"/>
                <w:lang w:val="en-US"/>
              </w:rPr>
            </w:pPr>
            <w:r w:rsidRPr="005C3EA9">
              <w:rPr>
                <w:rFonts w:ascii="PermianSerifTypeface" w:hAnsi="PermianSerifTypeface"/>
                <w:bCs/>
                <w:color w:val="000000"/>
                <w:lang w:val="en-US"/>
              </w:rPr>
              <w:t xml:space="preserve">Impairment losses on foreign currency securities measured at fair value through other comprehensive income  </w:t>
            </w: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72A77EEE" w14:textId="766AC275" w:rsidR="00356370" w:rsidRPr="00356370" w:rsidRDefault="00356370" w:rsidP="00356370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>607</w:t>
            </w:r>
          </w:p>
        </w:tc>
        <w:tc>
          <w:tcPr>
            <w:tcW w:w="1278" w:type="dxa"/>
            <w:tcBorders>
              <w:bottom w:val="nil"/>
            </w:tcBorders>
            <w:vAlign w:val="center"/>
          </w:tcPr>
          <w:p w14:paraId="1EBD64FA" w14:textId="78B30241" w:rsidR="00356370" w:rsidRPr="00356370" w:rsidRDefault="00356370" w:rsidP="00356370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 xml:space="preserve">1 775 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62D78FAD" w14:textId="77777777" w:rsidR="00356370" w:rsidRPr="00356370" w:rsidRDefault="00356370" w:rsidP="00356370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bottom w:val="nil"/>
            </w:tcBorders>
            <w:vAlign w:val="center"/>
          </w:tcPr>
          <w:p w14:paraId="02AFDD48" w14:textId="066A6C48" w:rsidR="00356370" w:rsidRPr="00356370" w:rsidRDefault="00356370" w:rsidP="00356370">
            <w:pPr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>607</w:t>
            </w:r>
          </w:p>
        </w:tc>
        <w:tc>
          <w:tcPr>
            <w:tcW w:w="1418" w:type="dxa"/>
            <w:tcBorders>
              <w:bottom w:val="nil"/>
            </w:tcBorders>
            <w:noWrap/>
            <w:vAlign w:val="center"/>
          </w:tcPr>
          <w:p w14:paraId="2FC8C92E" w14:textId="3BC8B297" w:rsidR="00356370" w:rsidRPr="00356370" w:rsidRDefault="00356370" w:rsidP="00356370">
            <w:pPr>
              <w:tabs>
                <w:tab w:val="right" w:pos="1861"/>
              </w:tabs>
              <w:spacing w:before="60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 xml:space="preserve">1 775 </w:t>
            </w:r>
          </w:p>
        </w:tc>
      </w:tr>
      <w:tr w:rsidR="00356370" w:rsidRPr="005C3EA9" w14:paraId="223C7636" w14:textId="77777777" w:rsidTr="00874620">
        <w:trPr>
          <w:trHeight w:val="99"/>
        </w:trPr>
        <w:tc>
          <w:tcPr>
            <w:tcW w:w="4823" w:type="dxa"/>
            <w:tcBorders>
              <w:bottom w:val="single" w:sz="12" w:space="0" w:color="808080" w:themeColor="background1" w:themeShade="80"/>
            </w:tcBorders>
            <w:noWrap/>
          </w:tcPr>
          <w:p w14:paraId="3946C70A" w14:textId="77777777" w:rsidR="009106D6" w:rsidRDefault="009106D6" w:rsidP="00356370">
            <w:pPr>
              <w:ind w:right="-1"/>
              <w:rPr>
                <w:rFonts w:ascii="PermianSerifTypeface" w:hAnsi="PermianSerifTypeface"/>
                <w:b/>
                <w:bCs/>
                <w:lang w:val="en-US"/>
              </w:rPr>
            </w:pPr>
          </w:p>
          <w:p w14:paraId="34F1EF6D" w14:textId="031E3793" w:rsidR="00356370" w:rsidRPr="005C3EA9" w:rsidRDefault="00356370" w:rsidP="00356370">
            <w:pPr>
              <w:ind w:right="-1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bCs/>
                <w:lang w:val="en-US"/>
              </w:rPr>
              <w:t>TOTAL COMPREHENSIVE RESULT FOR THE PERIOD</w:t>
            </w:r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478FB196" w14:textId="1D7819AF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2 666 509</w:t>
            </w:r>
          </w:p>
        </w:tc>
        <w:tc>
          <w:tcPr>
            <w:tcW w:w="1278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6E9CAB85" w14:textId="237E0559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(3 475 119)</w:t>
            </w:r>
          </w:p>
        </w:tc>
        <w:tc>
          <w:tcPr>
            <w:tcW w:w="283" w:type="dxa"/>
            <w:tcBorders>
              <w:bottom w:val="single" w:sz="12" w:space="0" w:color="808080" w:themeColor="background1" w:themeShade="80"/>
            </w:tcBorders>
            <w:vAlign w:val="center"/>
          </w:tcPr>
          <w:p w14:paraId="0B6CF9F7" w14:textId="77777777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6EBE3AE4" w14:textId="349FF8B5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Arial"/>
                <w:b/>
                <w:color w:val="000000"/>
                <w:lang w:val="ro-MD"/>
              </w:rPr>
              <w:t>2 665 595</w:t>
            </w:r>
          </w:p>
        </w:tc>
        <w:tc>
          <w:tcPr>
            <w:tcW w:w="1418" w:type="dxa"/>
            <w:tcBorders>
              <w:top w:val="single" w:sz="12" w:space="0" w:color="808080"/>
              <w:bottom w:val="single" w:sz="12" w:space="0" w:color="808080"/>
            </w:tcBorders>
            <w:noWrap/>
            <w:vAlign w:val="center"/>
          </w:tcPr>
          <w:p w14:paraId="12E62595" w14:textId="7814F544" w:rsidR="00356370" w:rsidRPr="00356370" w:rsidRDefault="00356370" w:rsidP="00356370">
            <w:pPr>
              <w:jc w:val="right"/>
              <w:rPr>
                <w:rFonts w:ascii="PermianSerifTypeface" w:hAnsi="PermianSerifTypeface"/>
                <w:b/>
                <w:lang w:val="en-US"/>
              </w:rPr>
            </w:pPr>
            <w:r w:rsidRPr="00356370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(3 476 832)</w:t>
            </w:r>
          </w:p>
        </w:tc>
      </w:tr>
      <w:tr w:rsidR="00356370" w:rsidRPr="005C3EA9" w14:paraId="34D55BC7" w14:textId="77777777" w:rsidTr="00874620">
        <w:trPr>
          <w:trHeight w:val="99"/>
        </w:trPr>
        <w:tc>
          <w:tcPr>
            <w:tcW w:w="4823" w:type="dxa"/>
            <w:tcBorders>
              <w:top w:val="single" w:sz="12" w:space="0" w:color="808080" w:themeColor="background1" w:themeShade="80"/>
            </w:tcBorders>
            <w:noWrap/>
          </w:tcPr>
          <w:p w14:paraId="7D32F910" w14:textId="77777777" w:rsidR="009106D6" w:rsidRDefault="009106D6" w:rsidP="00356370">
            <w:pPr>
              <w:ind w:right="-1"/>
              <w:rPr>
                <w:rFonts w:ascii="PermianSerifTypeface" w:hAnsi="PermianSerifTypeface"/>
                <w:b/>
                <w:bCs/>
                <w:lang w:val="en-US"/>
              </w:rPr>
            </w:pPr>
          </w:p>
          <w:p w14:paraId="46885238" w14:textId="74410392" w:rsidR="00356370" w:rsidRPr="005C3EA9" w:rsidRDefault="00356370" w:rsidP="00356370">
            <w:pPr>
              <w:ind w:right="-1"/>
              <w:rPr>
                <w:rFonts w:ascii="PermianSerifTypeface" w:hAnsi="PermianSerifTypeface"/>
                <w:b/>
                <w:bCs/>
                <w:lang w:val="en-US"/>
              </w:rPr>
            </w:pPr>
            <w:r>
              <w:rPr>
                <w:rFonts w:ascii="PermianSerifTypeface" w:hAnsi="PermianSerifTypeface"/>
                <w:b/>
                <w:bCs/>
                <w:lang w:val="en-US"/>
              </w:rPr>
              <w:t>NET PROFIT/(LOSS):</w:t>
            </w:r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76C6FF7D" w14:textId="571236C6" w:rsidR="00356370" w:rsidRPr="00356370" w:rsidRDefault="00356370" w:rsidP="009106D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356370">
              <w:rPr>
                <w:rFonts w:ascii="PermianSerifTypeface" w:hAnsi="PermianSerifTypeface"/>
                <w:b/>
                <w:bCs/>
                <w:lang w:val="ro-MD"/>
              </w:rPr>
              <w:t>2 909 371</w:t>
            </w:r>
          </w:p>
        </w:tc>
        <w:tc>
          <w:tcPr>
            <w:tcW w:w="1278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4B4453BF" w14:textId="70CC3A8B" w:rsidR="00356370" w:rsidRPr="00356370" w:rsidRDefault="00356370" w:rsidP="009106D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356370">
              <w:rPr>
                <w:rFonts w:ascii="PermianSerifTypeface" w:hAnsi="PermianSerifTypeface"/>
                <w:b/>
                <w:lang w:val="ro-MD"/>
              </w:rPr>
              <w:t>(3 232 378)</w:t>
            </w:r>
          </w:p>
        </w:tc>
        <w:tc>
          <w:tcPr>
            <w:tcW w:w="283" w:type="dxa"/>
            <w:tcBorders>
              <w:top w:val="single" w:sz="12" w:space="0" w:color="808080" w:themeColor="background1" w:themeShade="80"/>
              <w:bottom w:val="nil"/>
            </w:tcBorders>
            <w:vAlign w:val="bottom"/>
          </w:tcPr>
          <w:p w14:paraId="174DB19D" w14:textId="77777777" w:rsidR="00356370" w:rsidRPr="00356370" w:rsidRDefault="00356370" w:rsidP="009106D6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/>
            </w:tcBorders>
            <w:vAlign w:val="bottom"/>
          </w:tcPr>
          <w:p w14:paraId="1AA384BE" w14:textId="65EEE6EC" w:rsidR="00356370" w:rsidRPr="00356370" w:rsidRDefault="00356370" w:rsidP="009106D6">
            <w:pPr>
              <w:ind w:right="-1"/>
              <w:jc w:val="right"/>
              <w:rPr>
                <w:rFonts w:ascii="PermianSerifTypeface" w:hAnsi="PermianSerifTypeface" w:cs="Calibri"/>
                <w:b/>
                <w:bCs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Arial"/>
                <w:b/>
                <w:color w:val="000000"/>
                <w:lang w:val="ro-MD"/>
              </w:rPr>
              <w:t>2 908 457</w:t>
            </w:r>
          </w:p>
        </w:tc>
        <w:tc>
          <w:tcPr>
            <w:tcW w:w="1418" w:type="dxa"/>
            <w:tcBorders>
              <w:top w:val="single" w:sz="12" w:space="0" w:color="808080"/>
              <w:bottom w:val="single" w:sz="12" w:space="0" w:color="808080"/>
            </w:tcBorders>
            <w:noWrap/>
            <w:vAlign w:val="bottom"/>
          </w:tcPr>
          <w:p w14:paraId="0E28230D" w14:textId="191DD277" w:rsidR="00356370" w:rsidRPr="00356370" w:rsidRDefault="00356370" w:rsidP="009106D6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(3 234 091)</w:t>
            </w:r>
          </w:p>
        </w:tc>
      </w:tr>
      <w:tr w:rsidR="00356370" w:rsidRPr="005C3EA9" w14:paraId="4FD312B3" w14:textId="77777777" w:rsidTr="00945D8B">
        <w:trPr>
          <w:trHeight w:val="99"/>
        </w:trPr>
        <w:tc>
          <w:tcPr>
            <w:tcW w:w="4823" w:type="dxa"/>
            <w:noWrap/>
            <w:vAlign w:val="bottom"/>
          </w:tcPr>
          <w:p w14:paraId="048FA81F" w14:textId="24AC8D96" w:rsidR="00356370" w:rsidRPr="0031692C" w:rsidRDefault="00356370" w:rsidP="00356370">
            <w:pPr>
              <w:pStyle w:val="ListParagraph"/>
              <w:numPr>
                <w:ilvl w:val="0"/>
                <w:numId w:val="3"/>
              </w:numPr>
              <w:ind w:right="-1"/>
              <w:rPr>
                <w:rFonts w:ascii="PermianSerifTypeface" w:hAnsi="PermianSerifTypeface"/>
                <w:b/>
                <w:sz w:val="20"/>
                <w:szCs w:val="20"/>
              </w:rPr>
            </w:pPr>
            <w:r w:rsidRPr="0031692C">
              <w:rPr>
                <w:rFonts w:ascii="PermianSerifTypeface" w:hAnsi="PermianSerifTypeface"/>
                <w:sz w:val="20"/>
                <w:szCs w:val="20"/>
              </w:rPr>
              <w:t>Attributable to Bank</w:t>
            </w:r>
          </w:p>
        </w:tc>
        <w:tc>
          <w:tcPr>
            <w:tcW w:w="1276" w:type="dxa"/>
            <w:tcBorders>
              <w:top w:val="single" w:sz="12" w:space="0" w:color="808080"/>
            </w:tcBorders>
            <w:vAlign w:val="center"/>
          </w:tcPr>
          <w:p w14:paraId="01CBA825" w14:textId="281FD3D5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/>
                <w:lang w:val="ro-MD"/>
              </w:rPr>
              <w:t>2 909 356</w:t>
            </w:r>
          </w:p>
        </w:tc>
        <w:tc>
          <w:tcPr>
            <w:tcW w:w="1278" w:type="dxa"/>
            <w:tcBorders>
              <w:top w:val="single" w:sz="12" w:space="0" w:color="808080"/>
            </w:tcBorders>
            <w:vAlign w:val="center"/>
          </w:tcPr>
          <w:p w14:paraId="7CFE366E" w14:textId="680E597C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>(3 232 407)</w:t>
            </w:r>
          </w:p>
        </w:tc>
        <w:tc>
          <w:tcPr>
            <w:tcW w:w="283" w:type="dxa"/>
            <w:tcBorders>
              <w:bottom w:val="nil"/>
            </w:tcBorders>
            <w:vAlign w:val="center"/>
          </w:tcPr>
          <w:p w14:paraId="3F7B137F" w14:textId="77777777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bottom w:val="nil"/>
            </w:tcBorders>
            <w:vAlign w:val="center"/>
          </w:tcPr>
          <w:p w14:paraId="6FA7D184" w14:textId="098BD25A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>2 908 457</w:t>
            </w:r>
          </w:p>
        </w:tc>
        <w:tc>
          <w:tcPr>
            <w:tcW w:w="1418" w:type="dxa"/>
            <w:tcBorders>
              <w:top w:val="single" w:sz="12" w:space="0" w:color="808080"/>
              <w:bottom w:val="nil"/>
            </w:tcBorders>
            <w:noWrap/>
            <w:vAlign w:val="center"/>
          </w:tcPr>
          <w:p w14:paraId="141DA1C1" w14:textId="5411742D" w:rsidR="00356370" w:rsidRPr="00356370" w:rsidRDefault="00356370" w:rsidP="00356370">
            <w:pPr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>(3 234 091)</w:t>
            </w:r>
          </w:p>
        </w:tc>
      </w:tr>
      <w:tr w:rsidR="00356370" w:rsidRPr="005C3EA9" w14:paraId="33EDECFC" w14:textId="77777777" w:rsidTr="00874620">
        <w:trPr>
          <w:trHeight w:val="99"/>
        </w:trPr>
        <w:tc>
          <w:tcPr>
            <w:tcW w:w="4823" w:type="dxa"/>
            <w:tcBorders>
              <w:bottom w:val="single" w:sz="12" w:space="0" w:color="808080"/>
            </w:tcBorders>
            <w:noWrap/>
            <w:vAlign w:val="bottom"/>
          </w:tcPr>
          <w:p w14:paraId="6F812F99" w14:textId="10C7419A" w:rsidR="00356370" w:rsidRPr="0031692C" w:rsidRDefault="00356370" w:rsidP="00356370">
            <w:pPr>
              <w:pStyle w:val="ListParagraph"/>
              <w:numPr>
                <w:ilvl w:val="0"/>
                <w:numId w:val="2"/>
              </w:numPr>
              <w:ind w:right="-1"/>
              <w:rPr>
                <w:rFonts w:ascii="PermianSerifTypeface" w:hAnsi="PermianSerifTypeface"/>
                <w:b/>
                <w:sz w:val="20"/>
                <w:szCs w:val="20"/>
              </w:rPr>
            </w:pPr>
            <w:r w:rsidRPr="0031692C">
              <w:rPr>
                <w:rFonts w:ascii="PermianSerifTypeface" w:hAnsi="PermianSerifTypeface"/>
                <w:sz w:val="20"/>
                <w:szCs w:val="20"/>
              </w:rPr>
              <w:t>Attributable to non-controlling interests</w:t>
            </w:r>
          </w:p>
        </w:tc>
        <w:tc>
          <w:tcPr>
            <w:tcW w:w="1276" w:type="dxa"/>
            <w:tcBorders>
              <w:bottom w:val="single" w:sz="12" w:space="0" w:color="808080"/>
            </w:tcBorders>
            <w:vAlign w:val="center"/>
          </w:tcPr>
          <w:p w14:paraId="44BE67DC" w14:textId="3CA2C601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/>
                <w:lang w:val="ro-MD"/>
              </w:rPr>
              <w:t>15</w:t>
            </w:r>
          </w:p>
        </w:tc>
        <w:tc>
          <w:tcPr>
            <w:tcW w:w="1278" w:type="dxa"/>
            <w:tcBorders>
              <w:bottom w:val="single" w:sz="12" w:space="0" w:color="808080"/>
            </w:tcBorders>
            <w:vAlign w:val="center"/>
          </w:tcPr>
          <w:p w14:paraId="57A33A23" w14:textId="4B92DE2B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>29</w:t>
            </w:r>
          </w:p>
        </w:tc>
        <w:tc>
          <w:tcPr>
            <w:tcW w:w="283" w:type="dxa"/>
            <w:tcBorders>
              <w:bottom w:val="single" w:sz="12" w:space="0" w:color="808080"/>
            </w:tcBorders>
            <w:vAlign w:val="center"/>
          </w:tcPr>
          <w:p w14:paraId="2BFA3B0A" w14:textId="77777777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12" w:space="0" w:color="808080"/>
            </w:tcBorders>
            <w:vAlign w:val="center"/>
          </w:tcPr>
          <w:p w14:paraId="39B7BECF" w14:textId="5C61EE3D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>-</w:t>
            </w:r>
          </w:p>
        </w:tc>
        <w:tc>
          <w:tcPr>
            <w:tcW w:w="1418" w:type="dxa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591FCC50" w14:textId="33FD731A" w:rsidR="00356370" w:rsidRPr="00356370" w:rsidRDefault="00356370" w:rsidP="00356370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Arial"/>
                <w:bCs/>
                <w:color w:val="000000"/>
                <w:lang w:val="ro-MD"/>
              </w:rPr>
              <w:t>-</w:t>
            </w:r>
          </w:p>
        </w:tc>
      </w:tr>
      <w:tr w:rsidR="00356370" w:rsidRPr="005C3EA9" w14:paraId="5B504061" w14:textId="77777777" w:rsidTr="00874620">
        <w:trPr>
          <w:trHeight w:val="99"/>
        </w:trPr>
        <w:tc>
          <w:tcPr>
            <w:tcW w:w="4823" w:type="dxa"/>
            <w:tcBorders>
              <w:bottom w:val="nil"/>
            </w:tcBorders>
            <w:noWrap/>
            <w:vAlign w:val="bottom"/>
          </w:tcPr>
          <w:p w14:paraId="6D6D882A" w14:textId="77777777" w:rsidR="009106D6" w:rsidRDefault="009106D6" w:rsidP="00356370">
            <w:pPr>
              <w:ind w:right="-1"/>
              <w:rPr>
                <w:rFonts w:ascii="PermianSerifTypeface" w:hAnsi="PermianSerifTypeface"/>
                <w:b/>
                <w:bCs/>
                <w:lang w:val="en-US"/>
              </w:rPr>
            </w:pPr>
          </w:p>
          <w:p w14:paraId="72752AC1" w14:textId="2789D2ED" w:rsidR="00356370" w:rsidRPr="00356370" w:rsidRDefault="00356370" w:rsidP="00356370">
            <w:pPr>
              <w:ind w:right="-1"/>
              <w:rPr>
                <w:rFonts w:ascii="PermianSerifTypeface" w:hAnsi="PermianSerifTypeface"/>
                <w:b/>
                <w:bCs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bCs/>
                <w:lang w:val="en-US"/>
              </w:rPr>
              <w:t>TOTAL COMPREHENSIVE RESULT FOR THE PERIOD</w:t>
            </w:r>
            <w:r>
              <w:rPr>
                <w:rFonts w:ascii="PermianSerifTypeface" w:hAnsi="PermianSerifTypeface"/>
                <w:b/>
                <w:bCs/>
                <w:lang w:val="en-US"/>
              </w:rPr>
              <w:t>:</w:t>
            </w:r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 w:themeColor="background1" w:themeShade="80"/>
            </w:tcBorders>
            <w:vAlign w:val="center"/>
          </w:tcPr>
          <w:p w14:paraId="13F63583" w14:textId="1D35773A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/>
                <w:b/>
                <w:bCs/>
                <w:lang w:val="ro-MD"/>
              </w:rPr>
              <w:t>2 666 509</w:t>
            </w:r>
          </w:p>
        </w:tc>
        <w:tc>
          <w:tcPr>
            <w:tcW w:w="1278" w:type="dxa"/>
            <w:tcBorders>
              <w:top w:val="single" w:sz="12" w:space="0" w:color="808080"/>
              <w:bottom w:val="single" w:sz="12" w:space="0" w:color="808080" w:themeColor="background1" w:themeShade="80"/>
            </w:tcBorders>
            <w:vAlign w:val="center"/>
          </w:tcPr>
          <w:p w14:paraId="676F9EC1" w14:textId="272BAA30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(3 475 119)</w:t>
            </w:r>
          </w:p>
        </w:tc>
        <w:tc>
          <w:tcPr>
            <w:tcW w:w="283" w:type="dxa"/>
            <w:tcBorders>
              <w:top w:val="single" w:sz="12" w:space="0" w:color="808080"/>
              <w:bottom w:val="single" w:sz="12" w:space="0" w:color="808080" w:themeColor="background1" w:themeShade="80"/>
            </w:tcBorders>
            <w:vAlign w:val="center"/>
          </w:tcPr>
          <w:p w14:paraId="402A4CD9" w14:textId="77777777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 w:themeColor="background1" w:themeShade="80"/>
            </w:tcBorders>
            <w:vAlign w:val="center"/>
          </w:tcPr>
          <w:p w14:paraId="31D2E88A" w14:textId="512CBD2B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Arial"/>
                <w:b/>
                <w:color w:val="000000"/>
                <w:lang w:val="ro-MD"/>
              </w:rPr>
              <w:t>2 665 595</w:t>
            </w:r>
          </w:p>
        </w:tc>
        <w:tc>
          <w:tcPr>
            <w:tcW w:w="1418" w:type="dxa"/>
            <w:tcBorders>
              <w:top w:val="single" w:sz="12" w:space="0" w:color="808080"/>
              <w:bottom w:val="single" w:sz="12" w:space="0" w:color="808080" w:themeColor="background1" w:themeShade="80"/>
            </w:tcBorders>
            <w:noWrap/>
            <w:vAlign w:val="center"/>
          </w:tcPr>
          <w:p w14:paraId="032FC975" w14:textId="3C61EA45" w:rsidR="00356370" w:rsidRPr="00356370" w:rsidRDefault="00356370" w:rsidP="00356370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(3 476 832)</w:t>
            </w:r>
          </w:p>
        </w:tc>
      </w:tr>
      <w:tr w:rsidR="00356370" w:rsidRPr="005C3EA9" w14:paraId="1862C766" w14:textId="77777777" w:rsidTr="00874620">
        <w:trPr>
          <w:trHeight w:val="99"/>
        </w:trPr>
        <w:tc>
          <w:tcPr>
            <w:tcW w:w="4823" w:type="dxa"/>
            <w:tcBorders>
              <w:bottom w:val="nil"/>
            </w:tcBorders>
            <w:noWrap/>
            <w:vAlign w:val="bottom"/>
          </w:tcPr>
          <w:p w14:paraId="0DC7268A" w14:textId="734CAB9B" w:rsidR="00356370" w:rsidRPr="00356370" w:rsidRDefault="00356370" w:rsidP="00356370">
            <w:pPr>
              <w:pStyle w:val="ListParagraph"/>
              <w:numPr>
                <w:ilvl w:val="0"/>
                <w:numId w:val="2"/>
              </w:numPr>
              <w:ind w:right="-1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356370">
              <w:rPr>
                <w:rFonts w:ascii="PermianSerifTypeface" w:hAnsi="PermianSerifTypeface"/>
                <w:sz w:val="20"/>
                <w:szCs w:val="20"/>
              </w:rPr>
              <w:t>Attributable to Bank</w:t>
            </w:r>
          </w:p>
        </w:tc>
        <w:tc>
          <w:tcPr>
            <w:tcW w:w="1276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2C1E239F" w14:textId="13653621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/>
                <w:lang w:val="ro-MD"/>
              </w:rPr>
              <w:t>2 666 494</w:t>
            </w:r>
          </w:p>
        </w:tc>
        <w:tc>
          <w:tcPr>
            <w:tcW w:w="1278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1B495A0A" w14:textId="2CDA5A65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Arial"/>
                <w:color w:val="000000"/>
                <w:lang w:val="ro-MD"/>
              </w:rPr>
              <w:t>(3 475 148)</w:t>
            </w:r>
          </w:p>
        </w:tc>
        <w:tc>
          <w:tcPr>
            <w:tcW w:w="283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680FEBDA" w14:textId="77777777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808080" w:themeColor="background1" w:themeShade="80"/>
              <w:bottom w:val="nil"/>
            </w:tcBorders>
            <w:vAlign w:val="center"/>
          </w:tcPr>
          <w:p w14:paraId="45D7E934" w14:textId="4FCA9654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Arial"/>
                <w:bCs/>
                <w:color w:val="000000"/>
                <w:lang w:val="ro-MD"/>
              </w:rPr>
              <w:t>2 665 595</w:t>
            </w:r>
          </w:p>
        </w:tc>
        <w:tc>
          <w:tcPr>
            <w:tcW w:w="1418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center"/>
          </w:tcPr>
          <w:p w14:paraId="071A5606" w14:textId="29F5F2DA" w:rsidR="00356370" w:rsidRPr="00356370" w:rsidRDefault="00356370" w:rsidP="00356370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>(3 476 832)</w:t>
            </w:r>
          </w:p>
        </w:tc>
      </w:tr>
      <w:tr w:rsidR="00356370" w:rsidRPr="005C3EA9" w14:paraId="3250ABC2" w14:textId="77777777" w:rsidTr="00874620">
        <w:trPr>
          <w:trHeight w:val="99"/>
        </w:trPr>
        <w:tc>
          <w:tcPr>
            <w:tcW w:w="4823" w:type="dxa"/>
            <w:tcBorders>
              <w:bottom w:val="single" w:sz="12" w:space="0" w:color="808080" w:themeColor="background1" w:themeShade="80"/>
            </w:tcBorders>
            <w:noWrap/>
            <w:vAlign w:val="bottom"/>
          </w:tcPr>
          <w:p w14:paraId="764F21DF" w14:textId="7B12265A" w:rsidR="00356370" w:rsidRPr="00356370" w:rsidRDefault="00356370" w:rsidP="00356370">
            <w:pPr>
              <w:pStyle w:val="ListParagraph"/>
              <w:numPr>
                <w:ilvl w:val="0"/>
                <w:numId w:val="2"/>
              </w:numPr>
              <w:ind w:right="-1"/>
              <w:rPr>
                <w:rFonts w:ascii="PermianSerifTypeface" w:hAnsi="PermianSerifTypeface"/>
                <w:b/>
                <w:bCs/>
                <w:sz w:val="20"/>
                <w:szCs w:val="20"/>
              </w:rPr>
            </w:pPr>
            <w:r w:rsidRPr="00356370">
              <w:rPr>
                <w:rFonts w:ascii="PermianSerifTypeface" w:hAnsi="PermianSerifTypeface"/>
                <w:sz w:val="20"/>
                <w:szCs w:val="20"/>
              </w:rPr>
              <w:t>Attributable to non-controlling interests</w:t>
            </w:r>
          </w:p>
        </w:tc>
        <w:tc>
          <w:tcPr>
            <w:tcW w:w="1276" w:type="dxa"/>
            <w:tcBorders>
              <w:bottom w:val="single" w:sz="12" w:space="0" w:color="808080" w:themeColor="background1" w:themeShade="80"/>
            </w:tcBorders>
            <w:vAlign w:val="center"/>
          </w:tcPr>
          <w:p w14:paraId="54D35B07" w14:textId="5B7262F8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/>
                <w:lang w:val="ro-MD"/>
              </w:rPr>
              <w:t>15</w:t>
            </w:r>
          </w:p>
        </w:tc>
        <w:tc>
          <w:tcPr>
            <w:tcW w:w="1278" w:type="dxa"/>
            <w:tcBorders>
              <w:bottom w:val="single" w:sz="12" w:space="0" w:color="808080" w:themeColor="background1" w:themeShade="80"/>
            </w:tcBorders>
            <w:vAlign w:val="center"/>
          </w:tcPr>
          <w:p w14:paraId="4B57EE7D" w14:textId="4E4BB2C3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Arial"/>
                <w:color w:val="000000"/>
                <w:lang w:val="ro-MD"/>
              </w:rPr>
              <w:t>29</w:t>
            </w:r>
          </w:p>
        </w:tc>
        <w:tc>
          <w:tcPr>
            <w:tcW w:w="283" w:type="dxa"/>
            <w:tcBorders>
              <w:bottom w:val="single" w:sz="12" w:space="0" w:color="808080" w:themeColor="background1" w:themeShade="80"/>
            </w:tcBorders>
            <w:vAlign w:val="center"/>
          </w:tcPr>
          <w:p w14:paraId="07650E2D" w14:textId="77777777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12" w:space="0" w:color="808080" w:themeColor="background1" w:themeShade="80"/>
            </w:tcBorders>
            <w:vAlign w:val="center"/>
          </w:tcPr>
          <w:p w14:paraId="4ADD82E1" w14:textId="4915C78B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Arial"/>
                <w:bCs/>
                <w:color w:val="000000"/>
                <w:lang w:val="ro-MD"/>
              </w:rPr>
              <w:t>-</w:t>
            </w:r>
          </w:p>
        </w:tc>
        <w:tc>
          <w:tcPr>
            <w:tcW w:w="1418" w:type="dxa"/>
            <w:tcBorders>
              <w:top w:val="nil"/>
              <w:bottom w:val="single" w:sz="12" w:space="0" w:color="808080" w:themeColor="background1" w:themeShade="80"/>
            </w:tcBorders>
            <w:noWrap/>
            <w:vAlign w:val="center"/>
          </w:tcPr>
          <w:p w14:paraId="2EF2C3DC" w14:textId="6394FE21" w:rsidR="00356370" w:rsidRPr="00356370" w:rsidRDefault="00356370" w:rsidP="00356370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Arial"/>
                <w:bCs/>
                <w:color w:val="000000"/>
                <w:lang w:val="ro-MD"/>
              </w:rPr>
              <w:t>-</w:t>
            </w:r>
          </w:p>
        </w:tc>
      </w:tr>
      <w:tr w:rsidR="00356370" w:rsidRPr="005C3EA9" w14:paraId="48E85D0B" w14:textId="77777777" w:rsidTr="00874620">
        <w:trPr>
          <w:trHeight w:val="99"/>
        </w:trPr>
        <w:tc>
          <w:tcPr>
            <w:tcW w:w="4823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bottom"/>
          </w:tcPr>
          <w:p w14:paraId="49A943CE" w14:textId="77777777" w:rsidR="00356370" w:rsidRPr="005C3EA9" w:rsidRDefault="00356370" w:rsidP="00356370">
            <w:pPr>
              <w:ind w:right="-1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808080" w:themeColor="background1" w:themeShade="80"/>
              <w:bottom w:val="nil"/>
            </w:tcBorders>
            <w:vAlign w:val="bottom"/>
          </w:tcPr>
          <w:p w14:paraId="436FB218" w14:textId="77777777" w:rsidR="00356370" w:rsidRPr="005C3EA9" w:rsidRDefault="00356370" w:rsidP="00356370">
            <w:pPr>
              <w:ind w:right="-1"/>
              <w:jc w:val="right"/>
              <w:rPr>
                <w:rFonts w:ascii="PermianSerifTypeface" w:hAnsi="PermianSerifTypeface"/>
                <w:lang w:val="ro-MD"/>
              </w:rPr>
            </w:pPr>
          </w:p>
        </w:tc>
        <w:tc>
          <w:tcPr>
            <w:tcW w:w="1278" w:type="dxa"/>
            <w:tcBorders>
              <w:top w:val="single" w:sz="12" w:space="0" w:color="808080" w:themeColor="background1" w:themeShade="80"/>
              <w:bottom w:val="nil"/>
            </w:tcBorders>
            <w:vAlign w:val="bottom"/>
          </w:tcPr>
          <w:p w14:paraId="2F101837" w14:textId="77777777" w:rsidR="00356370" w:rsidRPr="005C3EA9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</w:p>
        </w:tc>
        <w:tc>
          <w:tcPr>
            <w:tcW w:w="283" w:type="dxa"/>
            <w:tcBorders>
              <w:top w:val="single" w:sz="12" w:space="0" w:color="808080" w:themeColor="background1" w:themeShade="80"/>
              <w:bottom w:val="nil"/>
            </w:tcBorders>
            <w:vAlign w:val="bottom"/>
          </w:tcPr>
          <w:p w14:paraId="177DB320" w14:textId="77777777" w:rsidR="00356370" w:rsidRPr="005C3EA9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808080" w:themeColor="background1" w:themeShade="80"/>
              <w:bottom w:val="nil"/>
            </w:tcBorders>
            <w:vAlign w:val="bottom"/>
          </w:tcPr>
          <w:p w14:paraId="4C4D8E7E" w14:textId="77777777" w:rsidR="00356370" w:rsidRPr="005C3EA9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418" w:type="dxa"/>
            <w:tcBorders>
              <w:top w:val="single" w:sz="12" w:space="0" w:color="808080" w:themeColor="background1" w:themeShade="80"/>
              <w:bottom w:val="nil"/>
            </w:tcBorders>
            <w:noWrap/>
            <w:vAlign w:val="bottom"/>
          </w:tcPr>
          <w:p w14:paraId="566056A2" w14:textId="77777777" w:rsidR="00356370" w:rsidRPr="005C3EA9" w:rsidRDefault="00356370" w:rsidP="00356370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</w:tr>
      <w:tr w:rsidR="00356370" w:rsidRPr="005C3EA9" w14:paraId="1AA0EA31" w14:textId="77777777" w:rsidTr="00DC30DE">
        <w:trPr>
          <w:trHeight w:val="99"/>
        </w:trPr>
        <w:tc>
          <w:tcPr>
            <w:tcW w:w="10354" w:type="dxa"/>
            <w:gridSpan w:val="6"/>
            <w:tcBorders>
              <w:top w:val="nil"/>
              <w:bottom w:val="nil"/>
            </w:tcBorders>
            <w:noWrap/>
            <w:vAlign w:val="bottom"/>
          </w:tcPr>
          <w:p w14:paraId="485FB49E" w14:textId="03FF1030" w:rsidR="00356370" w:rsidRPr="005C3EA9" w:rsidRDefault="00356370" w:rsidP="00356370">
            <w:pPr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>
              <w:rPr>
                <w:rFonts w:ascii="PermianSerifTypeface" w:hAnsi="PermianSerifTypeface"/>
                <w:b/>
                <w:bCs/>
                <w:sz w:val="22"/>
                <w:szCs w:val="22"/>
              </w:rPr>
              <w:t>C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ALCULATION OF THE PROFIT AVAILABLE FOR DISTR</w:t>
            </w:r>
            <w:r w:rsidR="001735F0">
              <w:rPr>
                <w:rFonts w:ascii="PermianSerifTypeface" w:hAnsi="PermianSerifTypeface"/>
                <w:b/>
                <w:bCs/>
                <w:sz w:val="22"/>
                <w:szCs w:val="22"/>
              </w:rPr>
              <w:t>I</w:t>
            </w:r>
            <w:r w:rsidRPr="00A81F12">
              <w:rPr>
                <w:rFonts w:ascii="PermianSerifTypeface" w:hAnsi="PermianSerifTypeface"/>
                <w:b/>
                <w:bCs/>
                <w:sz w:val="22"/>
                <w:szCs w:val="22"/>
              </w:rPr>
              <w:t>BUTION</w:t>
            </w:r>
            <w:r w:rsidR="001735F0">
              <w:rPr>
                <w:rFonts w:ascii="PermianSerifTypeface" w:hAnsi="PermianSerifTypeface"/>
                <w:b/>
                <w:bCs/>
                <w:sz w:val="22"/>
                <w:szCs w:val="22"/>
              </w:rPr>
              <w:t>/(TOTAL LOSS)</w:t>
            </w:r>
          </w:p>
        </w:tc>
      </w:tr>
      <w:tr w:rsidR="00356370" w:rsidRPr="005C3EA9" w14:paraId="4E1EBB0C" w14:textId="77777777" w:rsidTr="00874620">
        <w:trPr>
          <w:trHeight w:val="99"/>
        </w:trPr>
        <w:tc>
          <w:tcPr>
            <w:tcW w:w="4823" w:type="dxa"/>
            <w:tcBorders>
              <w:top w:val="nil"/>
              <w:bottom w:val="nil"/>
            </w:tcBorders>
            <w:noWrap/>
            <w:vAlign w:val="bottom"/>
          </w:tcPr>
          <w:p w14:paraId="563ADD11" w14:textId="77777777" w:rsidR="00874620" w:rsidRDefault="00874620" w:rsidP="00356370">
            <w:pPr>
              <w:ind w:right="-1"/>
              <w:rPr>
                <w:rFonts w:ascii="PermianSerifTypeface" w:hAnsi="PermianSerifTypeface"/>
                <w:b/>
                <w:lang w:val="en-US"/>
              </w:rPr>
            </w:pPr>
          </w:p>
          <w:p w14:paraId="62B73AE1" w14:textId="0570E55C" w:rsidR="00356370" w:rsidRPr="005C3EA9" w:rsidRDefault="00356370" w:rsidP="00356370">
            <w:pPr>
              <w:ind w:right="-1"/>
              <w:rPr>
                <w:rFonts w:ascii="PermianSerifTypeface" w:hAnsi="PermianSerifTypeface"/>
                <w:b/>
                <w:lang w:val="en-US"/>
              </w:rPr>
            </w:pPr>
            <w:r w:rsidRPr="005C3EA9">
              <w:rPr>
                <w:rFonts w:ascii="PermianSerifTypeface" w:hAnsi="PermianSerifTypeface"/>
                <w:b/>
                <w:lang w:val="en-US"/>
              </w:rPr>
              <w:t xml:space="preserve">NET </w:t>
            </w:r>
            <w:r w:rsidR="001735F0">
              <w:rPr>
                <w:rFonts w:ascii="PermianSerifTypeface" w:hAnsi="PermianSerifTypeface"/>
                <w:b/>
                <w:lang w:val="en-US"/>
              </w:rPr>
              <w:t>PROFIT/</w:t>
            </w:r>
            <w:r w:rsidRPr="005C3EA9">
              <w:rPr>
                <w:rFonts w:ascii="PermianSerifTypeface" w:hAnsi="PermianSerifTypeface"/>
                <w:b/>
                <w:lang w:val="en-US"/>
              </w:rPr>
              <w:t>(LOSS)</w:t>
            </w:r>
            <w:r w:rsidR="001735F0">
              <w:rPr>
                <w:rFonts w:ascii="PermianSerifTypeface" w:hAnsi="PermianSerifTypeface"/>
                <w:b/>
                <w:bCs/>
              </w:rPr>
              <w:t xml:space="preserve"> </w:t>
            </w:r>
            <w:r w:rsidRPr="005C3EA9">
              <w:rPr>
                <w:rFonts w:ascii="PermianSerifTypeface" w:hAnsi="PermianSerifTypeface"/>
                <w:b/>
                <w:lang w:val="en-US"/>
              </w:rPr>
              <w:t>from Bank’s activity</w:t>
            </w: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14:paraId="7411019D" w14:textId="025AE4CA" w:rsidR="00356370" w:rsidRPr="00356370" w:rsidRDefault="00356370" w:rsidP="0087462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2 908 457</w:t>
            </w:r>
          </w:p>
        </w:tc>
        <w:tc>
          <w:tcPr>
            <w:tcW w:w="1278" w:type="dxa"/>
            <w:tcBorders>
              <w:top w:val="nil"/>
              <w:bottom w:val="nil"/>
            </w:tcBorders>
            <w:vAlign w:val="bottom"/>
          </w:tcPr>
          <w:p w14:paraId="4B77D879" w14:textId="7407D912" w:rsidR="00356370" w:rsidRPr="00356370" w:rsidRDefault="00356370" w:rsidP="0087462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(3 234 091)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bottom"/>
          </w:tcPr>
          <w:p w14:paraId="4FB87E49" w14:textId="77777777" w:rsidR="00356370" w:rsidRPr="00356370" w:rsidRDefault="00356370" w:rsidP="0087462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  <w:vAlign w:val="bottom"/>
          </w:tcPr>
          <w:p w14:paraId="73D198AC" w14:textId="6C1F7083" w:rsidR="00356370" w:rsidRPr="00356370" w:rsidRDefault="00356370" w:rsidP="0087462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2 908 457</w:t>
            </w:r>
          </w:p>
        </w:tc>
        <w:tc>
          <w:tcPr>
            <w:tcW w:w="1418" w:type="dxa"/>
            <w:tcBorders>
              <w:top w:val="nil"/>
              <w:bottom w:val="nil"/>
            </w:tcBorders>
            <w:noWrap/>
            <w:vAlign w:val="bottom"/>
          </w:tcPr>
          <w:p w14:paraId="4ADAFCBD" w14:textId="0D2C54CB" w:rsidR="00356370" w:rsidRPr="00356370" w:rsidRDefault="00356370" w:rsidP="00874620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(3 234 091)</w:t>
            </w:r>
          </w:p>
        </w:tc>
      </w:tr>
      <w:tr w:rsidR="00356370" w:rsidRPr="005C3EA9" w14:paraId="5BDF5233" w14:textId="77777777" w:rsidTr="00892E65">
        <w:trPr>
          <w:trHeight w:val="99"/>
        </w:trPr>
        <w:tc>
          <w:tcPr>
            <w:tcW w:w="4823" w:type="dxa"/>
            <w:tcBorders>
              <w:top w:val="nil"/>
              <w:bottom w:val="nil"/>
            </w:tcBorders>
            <w:noWrap/>
            <w:vAlign w:val="bottom"/>
          </w:tcPr>
          <w:p w14:paraId="0BFA93C7" w14:textId="63CC4596" w:rsidR="00356370" w:rsidRPr="005C3EA9" w:rsidRDefault="001735F0" w:rsidP="00356370">
            <w:pPr>
              <w:ind w:right="-1"/>
              <w:rPr>
                <w:rFonts w:ascii="PermianSerifTypeface" w:hAnsi="PermianSerifTypeface"/>
                <w:lang w:val="en-US"/>
              </w:rPr>
            </w:pPr>
            <w:r>
              <w:rPr>
                <w:rFonts w:ascii="PermianSerifTypeface" w:hAnsi="PermianSerifTypeface"/>
                <w:bCs/>
                <w:lang w:val="en-US"/>
              </w:rPr>
              <w:t>(A</w:t>
            </w:r>
            <w:r w:rsidR="00356370" w:rsidRPr="005C3EA9">
              <w:rPr>
                <w:rFonts w:ascii="PermianSerifTypeface" w:hAnsi="PermianSerifTypeface"/>
                <w:bCs/>
                <w:lang w:val="en-US"/>
              </w:rPr>
              <w:t>llocation)</w:t>
            </w:r>
            <w:r>
              <w:rPr>
                <w:rFonts w:ascii="PermianSerifTypeface" w:hAnsi="PermianSerifTypeface"/>
                <w:bCs/>
                <w:lang w:val="en-US"/>
              </w:rPr>
              <w:t>/cover</w:t>
            </w:r>
            <w:r w:rsidR="00A30233">
              <w:rPr>
                <w:rFonts w:ascii="PermianSerifTypeface" w:hAnsi="PermianSerifTypeface"/>
                <w:bCs/>
                <w:lang w:val="en-US"/>
              </w:rPr>
              <w:t>age</w:t>
            </w:r>
            <w:r w:rsidR="00356370" w:rsidRPr="005C3EA9">
              <w:rPr>
                <w:rFonts w:ascii="PermianSerifTypeface" w:hAnsi="PermianSerifTypeface"/>
                <w:bCs/>
                <w:lang w:val="en-US"/>
              </w:rPr>
              <w:t xml:space="preserve"> of unrealized</w:t>
            </w:r>
            <w:r>
              <w:rPr>
                <w:rFonts w:ascii="PermianSerifTypeface" w:hAnsi="PermianSerifTypeface"/>
                <w:bCs/>
                <w:lang w:val="en-US"/>
              </w:rPr>
              <w:t xml:space="preserve"> (gains)/</w:t>
            </w:r>
            <w:r w:rsidR="00356370" w:rsidRPr="005C3EA9">
              <w:rPr>
                <w:rFonts w:ascii="PermianSerifTypeface" w:hAnsi="PermianSerifTypeface"/>
                <w:bCs/>
                <w:lang w:val="en-US"/>
              </w:rPr>
              <w:t>losses</w:t>
            </w:r>
            <w:r>
              <w:rPr>
                <w:rFonts w:ascii="PermianSerifTypeface" w:hAnsi="PermianSerifTypeface"/>
                <w:bCs/>
                <w:lang w:val="en-US"/>
              </w:rPr>
              <w:t xml:space="preserve"> </w:t>
            </w:r>
            <w:r w:rsidR="00356370" w:rsidRPr="005C3EA9">
              <w:rPr>
                <w:rFonts w:ascii="PermianSerifTypeface" w:hAnsi="PermianSerifTypeface"/>
                <w:bCs/>
                <w:lang w:val="en-US"/>
              </w:rPr>
              <w:t>from revaluation of foreign currency stocks</w:t>
            </w:r>
          </w:p>
        </w:tc>
        <w:tc>
          <w:tcPr>
            <w:tcW w:w="1276" w:type="dxa"/>
            <w:tcBorders>
              <w:top w:val="single" w:sz="8" w:space="0" w:color="808080"/>
              <w:bottom w:val="nil"/>
            </w:tcBorders>
            <w:vAlign w:val="center"/>
          </w:tcPr>
          <w:p w14:paraId="5E8D7CFE" w14:textId="78BDA551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Arial"/>
                <w:color w:val="000000"/>
                <w:lang w:val="ro-MD"/>
              </w:rPr>
              <w:t>(1 451 853)</w:t>
            </w:r>
          </w:p>
        </w:tc>
        <w:tc>
          <w:tcPr>
            <w:tcW w:w="1278" w:type="dxa"/>
            <w:tcBorders>
              <w:top w:val="single" w:sz="8" w:space="0" w:color="808080"/>
              <w:bottom w:val="nil"/>
            </w:tcBorders>
            <w:vAlign w:val="center"/>
          </w:tcPr>
          <w:p w14:paraId="750109BE" w14:textId="1E7C0FC3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 xml:space="preserve">2 713 317 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3DFA653" w14:textId="77777777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8" w:space="0" w:color="808080"/>
              <w:bottom w:val="nil"/>
            </w:tcBorders>
            <w:vAlign w:val="center"/>
          </w:tcPr>
          <w:p w14:paraId="75FC91FE" w14:textId="18755EB8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Arial"/>
                <w:color w:val="000000"/>
                <w:lang w:val="ro-MD"/>
              </w:rPr>
              <w:t>(1 451 853)</w:t>
            </w:r>
          </w:p>
        </w:tc>
        <w:tc>
          <w:tcPr>
            <w:tcW w:w="1418" w:type="dxa"/>
            <w:tcBorders>
              <w:top w:val="single" w:sz="8" w:space="0" w:color="808080"/>
              <w:bottom w:val="nil"/>
            </w:tcBorders>
            <w:noWrap/>
            <w:vAlign w:val="center"/>
          </w:tcPr>
          <w:p w14:paraId="7579C74A" w14:textId="69BF7921" w:rsidR="00356370" w:rsidRPr="00356370" w:rsidRDefault="00356370" w:rsidP="00356370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 xml:space="preserve">2 713 317 </w:t>
            </w:r>
          </w:p>
        </w:tc>
      </w:tr>
      <w:tr w:rsidR="00356370" w:rsidRPr="005C3EA9" w14:paraId="1211641F" w14:textId="77777777" w:rsidTr="00892E65">
        <w:trPr>
          <w:trHeight w:val="99"/>
        </w:trPr>
        <w:tc>
          <w:tcPr>
            <w:tcW w:w="4823" w:type="dxa"/>
            <w:tcBorders>
              <w:top w:val="nil"/>
              <w:bottom w:val="nil"/>
            </w:tcBorders>
            <w:noWrap/>
            <w:vAlign w:val="bottom"/>
          </w:tcPr>
          <w:p w14:paraId="21615329" w14:textId="69A1EF58" w:rsidR="00356370" w:rsidRPr="005C3EA9" w:rsidRDefault="00356370" w:rsidP="00356370">
            <w:pPr>
              <w:ind w:right="-1"/>
              <w:rPr>
                <w:rFonts w:ascii="PermianSerifTypeface" w:hAnsi="PermianSerifTypeface"/>
                <w:lang w:val="en-US"/>
              </w:rPr>
            </w:pPr>
            <w:r>
              <w:rPr>
                <w:rFonts w:ascii="PermianSerifTypeface" w:hAnsi="PermianSerifTypeface"/>
                <w:bCs/>
                <w:lang w:val="en-US"/>
              </w:rPr>
              <w:t>Allocation of unrealized gains</w:t>
            </w:r>
            <w:r w:rsidRPr="005C3EA9">
              <w:rPr>
                <w:rFonts w:ascii="PermianSerifTypeface" w:hAnsi="PermianSerifTypeface"/>
                <w:bCs/>
                <w:lang w:val="en-US"/>
              </w:rPr>
              <w:t xml:space="preserve"> from revaluation of precious metals</w:t>
            </w:r>
          </w:p>
        </w:tc>
        <w:tc>
          <w:tcPr>
            <w:tcW w:w="1276" w:type="dxa"/>
            <w:tcBorders>
              <w:top w:val="nil"/>
              <w:bottom w:val="single" w:sz="12" w:space="0" w:color="808080"/>
            </w:tcBorders>
            <w:vAlign w:val="center"/>
          </w:tcPr>
          <w:p w14:paraId="396154EF" w14:textId="7196E158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/>
                <w:lang w:val="en-US"/>
              </w:rPr>
            </w:pPr>
            <w:r w:rsidRPr="00356370">
              <w:rPr>
                <w:rFonts w:ascii="PermianSerifTypeface" w:hAnsi="PermianSerifTypeface"/>
                <w:bCs/>
                <w:lang w:val="ro-MD"/>
              </w:rPr>
              <w:t>(13 438)</w:t>
            </w:r>
          </w:p>
        </w:tc>
        <w:tc>
          <w:tcPr>
            <w:tcW w:w="1278" w:type="dxa"/>
            <w:tcBorders>
              <w:top w:val="nil"/>
              <w:bottom w:val="single" w:sz="12" w:space="0" w:color="808080"/>
            </w:tcBorders>
            <w:vAlign w:val="center"/>
          </w:tcPr>
          <w:p w14:paraId="660432A2" w14:textId="444FDE8F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>(887)</w:t>
            </w:r>
          </w:p>
        </w:tc>
        <w:tc>
          <w:tcPr>
            <w:tcW w:w="283" w:type="dxa"/>
            <w:tcBorders>
              <w:top w:val="nil"/>
              <w:bottom w:val="nil"/>
            </w:tcBorders>
            <w:vAlign w:val="center"/>
          </w:tcPr>
          <w:p w14:paraId="4A175A93" w14:textId="77777777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/>
                <w:lang w:val="en-US"/>
              </w:rPr>
            </w:pPr>
          </w:p>
        </w:tc>
        <w:tc>
          <w:tcPr>
            <w:tcW w:w="1276" w:type="dxa"/>
            <w:tcBorders>
              <w:top w:val="nil"/>
              <w:bottom w:val="single" w:sz="12" w:space="0" w:color="808080"/>
            </w:tcBorders>
            <w:vAlign w:val="center"/>
          </w:tcPr>
          <w:p w14:paraId="7CFA9E8D" w14:textId="4719FBE0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/>
                <w:lang w:val="en-US"/>
              </w:rPr>
            </w:pPr>
            <w:r w:rsidRPr="00356370">
              <w:rPr>
                <w:rFonts w:ascii="PermianSerifTypeface" w:hAnsi="PermianSerifTypeface"/>
                <w:bCs/>
                <w:lang w:val="ro-MD"/>
              </w:rPr>
              <w:t>(13 438)</w:t>
            </w:r>
          </w:p>
        </w:tc>
        <w:tc>
          <w:tcPr>
            <w:tcW w:w="1418" w:type="dxa"/>
            <w:tcBorders>
              <w:top w:val="nil"/>
              <w:bottom w:val="single" w:sz="12" w:space="0" w:color="808080"/>
            </w:tcBorders>
            <w:noWrap/>
            <w:vAlign w:val="center"/>
          </w:tcPr>
          <w:p w14:paraId="35A18FAB" w14:textId="4AE097BE" w:rsidR="00356370" w:rsidRPr="00356370" w:rsidRDefault="00356370" w:rsidP="00356370">
            <w:pPr>
              <w:jc w:val="right"/>
              <w:rPr>
                <w:rFonts w:ascii="PermianSerifTypeface" w:hAnsi="PermianSerifTypeface"/>
                <w:lang w:val="en-US"/>
              </w:rPr>
            </w:pPr>
            <w:r w:rsidRPr="00356370">
              <w:rPr>
                <w:rFonts w:ascii="PermianSerifTypeface" w:hAnsi="PermianSerifTypeface" w:cs="Calibri"/>
                <w:color w:val="000000"/>
                <w:lang w:val="ro-MD"/>
              </w:rPr>
              <w:t>(887)</w:t>
            </w:r>
          </w:p>
        </w:tc>
      </w:tr>
      <w:tr w:rsidR="00356370" w:rsidRPr="005C3EA9" w14:paraId="6FA3EEFE" w14:textId="77777777" w:rsidTr="00892E65">
        <w:trPr>
          <w:trHeight w:val="332"/>
        </w:trPr>
        <w:tc>
          <w:tcPr>
            <w:tcW w:w="4823" w:type="dxa"/>
            <w:tcBorders>
              <w:top w:val="nil"/>
              <w:bottom w:val="single" w:sz="12" w:space="0" w:color="808080"/>
            </w:tcBorders>
            <w:noWrap/>
            <w:vAlign w:val="bottom"/>
          </w:tcPr>
          <w:p w14:paraId="403ABA4D" w14:textId="0F5C01AC" w:rsidR="00356370" w:rsidRPr="005C3EA9" w:rsidRDefault="00874620" w:rsidP="00356370">
            <w:pPr>
              <w:ind w:right="-1"/>
              <w:rPr>
                <w:rFonts w:ascii="PermianSerifTypeface" w:hAnsi="PermianSerifTypeface"/>
                <w:b/>
                <w:lang w:val="en-US"/>
              </w:rPr>
            </w:pPr>
            <w:r>
              <w:rPr>
                <w:rFonts w:ascii="PermianSerifTypeface" w:hAnsi="PermianSerifTypeface"/>
                <w:b/>
                <w:lang w:val="en-US"/>
              </w:rPr>
              <w:t>PROFIT AVAILABLE FOR DISTRIBUTION</w:t>
            </w:r>
            <w:proofErr w:type="gramStart"/>
            <w:r w:rsidR="001735F0">
              <w:rPr>
                <w:rFonts w:ascii="PermianSerifTypeface" w:hAnsi="PermianSerifTypeface"/>
                <w:b/>
                <w:lang w:val="en-US"/>
              </w:rPr>
              <w:t>/(</w:t>
            </w:r>
            <w:proofErr w:type="gramEnd"/>
            <w:r w:rsidR="001735F0">
              <w:rPr>
                <w:rFonts w:ascii="PermianSerifTypeface" w:hAnsi="PermianSerifTypeface"/>
                <w:b/>
                <w:lang w:val="en-US"/>
              </w:rPr>
              <w:t>TOTAL LOSS)</w:t>
            </w:r>
            <w:r w:rsidR="00356370" w:rsidRPr="005C3EA9">
              <w:rPr>
                <w:rFonts w:ascii="PermianSerifTypeface" w:hAnsi="PermianSerifTypeface"/>
                <w:b/>
                <w:lang w:val="en-US"/>
              </w:rPr>
              <w:t>*</w:t>
            </w:r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1F39947B" w14:textId="252A25EC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Arial"/>
                <w:b/>
                <w:color w:val="000000"/>
                <w:lang w:val="ro-MD"/>
              </w:rPr>
              <w:t>1 443 166</w:t>
            </w:r>
          </w:p>
        </w:tc>
        <w:tc>
          <w:tcPr>
            <w:tcW w:w="1278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7F01F7FD" w14:textId="5CFD96AA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(521 661)</w:t>
            </w:r>
          </w:p>
        </w:tc>
        <w:tc>
          <w:tcPr>
            <w:tcW w:w="283" w:type="dxa"/>
            <w:tcBorders>
              <w:top w:val="nil"/>
              <w:bottom w:val="single" w:sz="12" w:space="0" w:color="808080"/>
            </w:tcBorders>
            <w:vAlign w:val="center"/>
          </w:tcPr>
          <w:p w14:paraId="0993A5CA" w14:textId="77777777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</w:p>
        </w:tc>
        <w:tc>
          <w:tcPr>
            <w:tcW w:w="1276" w:type="dxa"/>
            <w:tcBorders>
              <w:top w:val="single" w:sz="12" w:space="0" w:color="808080"/>
              <w:bottom w:val="single" w:sz="12" w:space="0" w:color="808080"/>
            </w:tcBorders>
            <w:vAlign w:val="center"/>
          </w:tcPr>
          <w:p w14:paraId="004BFA0C" w14:textId="0789DFFD" w:rsidR="00356370" w:rsidRPr="00356370" w:rsidRDefault="00356370" w:rsidP="00356370">
            <w:pPr>
              <w:ind w:right="-1"/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Arial"/>
                <w:b/>
                <w:color w:val="000000"/>
                <w:lang w:val="ro-MD"/>
              </w:rPr>
              <w:t>1 443 166</w:t>
            </w:r>
          </w:p>
        </w:tc>
        <w:tc>
          <w:tcPr>
            <w:tcW w:w="1418" w:type="dxa"/>
            <w:tcBorders>
              <w:top w:val="single" w:sz="12" w:space="0" w:color="808080"/>
              <w:bottom w:val="single" w:sz="12" w:space="0" w:color="808080"/>
            </w:tcBorders>
            <w:noWrap/>
            <w:vAlign w:val="center"/>
          </w:tcPr>
          <w:p w14:paraId="7DC452A8" w14:textId="4F62936C" w:rsidR="00356370" w:rsidRPr="00356370" w:rsidRDefault="00356370" w:rsidP="00356370">
            <w:pPr>
              <w:jc w:val="right"/>
              <w:rPr>
                <w:rFonts w:ascii="PermianSerifTypeface" w:hAnsi="PermianSerifTypeface" w:cs="Arial"/>
                <w:b/>
                <w:color w:val="000000"/>
                <w:lang w:val="en-US"/>
              </w:rPr>
            </w:pPr>
            <w:r w:rsidRPr="00356370">
              <w:rPr>
                <w:rFonts w:ascii="PermianSerifTypeface" w:hAnsi="PermianSerifTypeface" w:cs="Calibri"/>
                <w:b/>
                <w:bCs/>
                <w:color w:val="000000"/>
                <w:lang w:val="ro-MD"/>
              </w:rPr>
              <w:t>(521 661)</w:t>
            </w:r>
          </w:p>
        </w:tc>
      </w:tr>
    </w:tbl>
    <w:p w14:paraId="1DE1DA15" w14:textId="2A636F78" w:rsidR="00201F69" w:rsidRDefault="00201F69" w:rsidP="00C20E29">
      <w:pPr>
        <w:spacing w:after="0" w:line="240" w:lineRule="auto"/>
        <w:ind w:left="-426"/>
        <w:jc w:val="both"/>
        <w:rPr>
          <w:rFonts w:ascii="PermianSerifTypeface" w:eastAsia="Times New Roman" w:hAnsi="PermianSerifTypeface" w:cs="Times New Roman"/>
          <w:lang w:val="en-US"/>
        </w:rPr>
      </w:pPr>
    </w:p>
    <w:p w14:paraId="455C91AA" w14:textId="77777777" w:rsidR="00201F69" w:rsidRPr="00201F69" w:rsidRDefault="00201F69" w:rsidP="00201F69">
      <w:pPr>
        <w:rPr>
          <w:rFonts w:ascii="PermianSerifTypeface" w:eastAsia="Times New Roman" w:hAnsi="PermianSerifTypeface" w:cs="Times New Roman"/>
          <w:lang w:val="en-US"/>
        </w:rPr>
      </w:pPr>
    </w:p>
    <w:p w14:paraId="23AF842C" w14:textId="77777777" w:rsidR="00201F69" w:rsidRPr="00201F69" w:rsidRDefault="00201F69" w:rsidP="00201F69">
      <w:pPr>
        <w:rPr>
          <w:rFonts w:ascii="PermianSerifTypeface" w:eastAsia="Times New Roman" w:hAnsi="PermianSerifTypeface" w:cs="Times New Roman"/>
          <w:lang w:val="en-US"/>
        </w:rPr>
      </w:pPr>
    </w:p>
    <w:p w14:paraId="63ECDEE2" w14:textId="112F6297" w:rsidR="001E2FB9" w:rsidRPr="00201F69" w:rsidRDefault="00201F69" w:rsidP="00201F69">
      <w:pPr>
        <w:tabs>
          <w:tab w:val="left" w:pos="5299"/>
        </w:tabs>
        <w:rPr>
          <w:rFonts w:ascii="PermianSerifTypeface" w:eastAsia="Times New Roman" w:hAnsi="PermianSerifTypeface" w:cs="Times New Roman"/>
          <w:lang w:val="en-US"/>
        </w:rPr>
      </w:pPr>
      <w:r>
        <w:rPr>
          <w:rFonts w:ascii="PermianSerifTypeface" w:eastAsia="Times New Roman" w:hAnsi="PermianSerifTypeface" w:cs="Times New Roman"/>
          <w:lang w:val="en-US"/>
        </w:rPr>
        <w:tab/>
      </w:r>
    </w:p>
    <w:sectPr w:rsidR="001E2FB9" w:rsidRPr="00201F69" w:rsidSect="00DB6506">
      <w:headerReference w:type="default" r:id="rId9"/>
      <w:footerReference w:type="even" r:id="rId10"/>
      <w:pgSz w:w="11906" w:h="16838"/>
      <w:pgMar w:top="1702" w:right="851" w:bottom="85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7288EF3" w14:textId="77777777" w:rsidR="0020756A" w:rsidRDefault="0020756A" w:rsidP="00A75602">
      <w:pPr>
        <w:spacing w:after="0" w:line="240" w:lineRule="auto"/>
      </w:pPr>
      <w:r>
        <w:separator/>
      </w:r>
    </w:p>
  </w:endnote>
  <w:endnote w:type="continuationSeparator" w:id="0">
    <w:p w14:paraId="4592C097" w14:textId="77777777" w:rsidR="0020756A" w:rsidRDefault="0020756A" w:rsidP="00A756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ermianSerifTypeface">
    <w:panose1 w:val="02000000000000000000"/>
    <w:charset w:val="00"/>
    <w:family w:val="modern"/>
    <w:notTrueType/>
    <w:pitch w:val="variable"/>
    <w:sig w:usb0="A000022F" w:usb1="4000A46A" w:usb2="00000000" w:usb3="00000000" w:csb0="00000007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D0777A" w14:textId="0225CA62" w:rsidR="00C20E29" w:rsidRDefault="00E6079B" w:rsidP="00E6079B">
    <w:pPr>
      <w:pStyle w:val="Footer"/>
      <w:ind w:left="-709"/>
    </w:pPr>
    <w:r w:rsidRPr="0086539A">
      <w:rPr>
        <w:rStyle w:val="EndnoteReference"/>
        <w:color w:val="FFFFFF" w:themeColor="background1"/>
        <w:lang w:val="en-US"/>
      </w:rPr>
      <w:footnoteRef/>
    </w:r>
    <w:r w:rsidRPr="0086539A">
      <w:rPr>
        <w:color w:val="FFFFFF" w:themeColor="background1"/>
        <w:lang w:val="en-US"/>
      </w:rPr>
      <w:t xml:space="preserve"> </w:t>
    </w:r>
    <w:r w:rsidRPr="0086539A">
      <w:rPr>
        <w:rFonts w:ascii="PermianSerifTypeface" w:eastAsia="Times New Roman" w:hAnsi="PermianSerifTypeface" w:cs="Times New Roman"/>
        <w:sz w:val="18"/>
        <w:szCs w:val="18"/>
        <w:lang w:val="en-US"/>
      </w:rPr>
      <w:t>*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>According to art. 20 of the Law on the National Bank of Moldova no. 548/1995 profit available for distribution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>/</w:t>
    </w:r>
    <w:r w:rsidRPr="00CC4A8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 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>total loss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 is determined and recorded at the end of the financial year, therefore profit available for distributio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>n/</w:t>
    </w:r>
    <w:r w:rsidRPr="00CC4A8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 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total loss 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in interim financial statements 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>are</w:t>
    </w:r>
    <w:r w:rsidRPr="001E0157">
      <w:rPr>
        <w:rFonts w:ascii="PermianSerifTypeface" w:eastAsia="Times New Roman" w:hAnsi="PermianSerifTypeface" w:cs="Times New Roman"/>
        <w:i/>
        <w:sz w:val="18"/>
        <w:szCs w:val="18"/>
        <w:lang w:val="en-US"/>
      </w:rPr>
      <w:t xml:space="preserve"> provided for information purposes only</w:t>
    </w:r>
    <w:r>
      <w:rPr>
        <w:rFonts w:ascii="PermianSerifTypeface" w:eastAsia="Times New Roman" w:hAnsi="PermianSerifTypeface" w:cs="Times New Roman"/>
        <w:i/>
        <w:sz w:val="18"/>
        <w:szCs w:val="18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8185D" w14:textId="77777777" w:rsidR="0020756A" w:rsidRDefault="0020756A" w:rsidP="00A75602">
      <w:pPr>
        <w:spacing w:after="0" w:line="240" w:lineRule="auto"/>
      </w:pPr>
      <w:r>
        <w:separator/>
      </w:r>
    </w:p>
  </w:footnote>
  <w:footnote w:type="continuationSeparator" w:id="0">
    <w:p w14:paraId="3F1C6ACC" w14:textId="77777777" w:rsidR="0020756A" w:rsidRDefault="0020756A" w:rsidP="00A756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9B2AC6" w14:textId="466C7F7C" w:rsidR="00523554" w:rsidRDefault="00DB6506" w:rsidP="00DB6506">
    <w:pPr>
      <w:pStyle w:val="Header"/>
    </w:pPr>
    <w:r>
      <w:rPr>
        <w:noProof/>
        <w:lang w:val="en-US"/>
      </w:rPr>
      <w:drawing>
        <wp:inline distT="0" distB="0" distL="0" distR="0" wp14:anchorId="4B638376" wp14:editId="43B72C12">
          <wp:extent cx="2847340" cy="385445"/>
          <wp:effectExtent l="0" t="0" r="0" b="0"/>
          <wp:docPr id="1995334605" name="Picture 1995334605">
            <a:extLst xmlns:a="http://schemas.openxmlformats.org/drawingml/2006/main">
              <a:ext uri="{FF2B5EF4-FFF2-40B4-BE49-F238E27FC236}">
                <a16:creationId xmlns:a16="http://schemas.microsoft.com/office/drawing/2014/main" id="{EC0A1372-8313-46F6-A3D7-73AEE9622C69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">
                    <a:extLst>
                      <a:ext uri="{FF2B5EF4-FFF2-40B4-BE49-F238E27FC236}">
                        <a16:creationId xmlns:a16="http://schemas.microsoft.com/office/drawing/2014/main" id="{EC0A1372-8313-46F6-A3D7-73AEE9622C69}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340" cy="3854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C3B60EA"/>
    <w:multiLevelType w:val="multilevel"/>
    <w:tmpl w:val="70F2877E"/>
    <w:lvl w:ilvl="0">
      <w:start w:val="1"/>
      <w:numFmt w:val="decimal"/>
      <w:pStyle w:val="Heading1"/>
      <w:lvlText w:val="%1"/>
      <w:lvlJc w:val="left"/>
      <w:pPr>
        <w:tabs>
          <w:tab w:val="num" w:pos="964"/>
        </w:tabs>
        <w:ind w:hanging="964"/>
      </w:pPr>
      <w:rPr>
        <w:rFonts w:cs="Times New Roman"/>
        <w:b/>
        <w:sz w:val="22"/>
        <w:szCs w:val="22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64"/>
        </w:tabs>
        <w:ind w:left="964" w:hanging="964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054"/>
        </w:tabs>
        <w:ind w:left="1054" w:hanging="964"/>
      </w:pPr>
      <w:rPr>
        <w:rFonts w:cs="Times New Roman"/>
        <w:b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984"/>
        </w:tabs>
        <w:ind w:left="964" w:hanging="964"/>
      </w:pPr>
      <w:rPr>
        <w:rFonts w:cs="Times New Roman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33F67C2"/>
    <w:multiLevelType w:val="hybridMultilevel"/>
    <w:tmpl w:val="CD3E8282"/>
    <w:lvl w:ilvl="0" w:tplc="539AA782">
      <w:start w:val="2"/>
      <w:numFmt w:val="bullet"/>
      <w:lvlText w:val="-"/>
      <w:lvlJc w:val="left"/>
      <w:pPr>
        <w:ind w:left="539" w:hanging="360"/>
      </w:pPr>
      <w:rPr>
        <w:rFonts w:ascii="PermianSerifTypeface" w:eastAsia="Times New Roman" w:hAnsi="PermianSerifTypeface" w:cs="Times New Roman" w:hint="default"/>
        <w:b w:val="0"/>
      </w:rPr>
    </w:lvl>
    <w:lvl w:ilvl="1" w:tplc="0818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abstractNum w:abstractNumId="2" w15:restartNumberingAfterBreak="0">
    <w:nsid w:val="62D7251D"/>
    <w:multiLevelType w:val="hybridMultilevel"/>
    <w:tmpl w:val="64B03DF0"/>
    <w:lvl w:ilvl="0" w:tplc="E3889E18">
      <w:start w:val="2"/>
      <w:numFmt w:val="bullet"/>
      <w:lvlText w:val="-"/>
      <w:lvlJc w:val="left"/>
      <w:pPr>
        <w:ind w:left="539" w:hanging="360"/>
      </w:pPr>
      <w:rPr>
        <w:rFonts w:ascii="PermianSerifTypeface" w:eastAsia="Times New Roman" w:hAnsi="PermianSerifTypeface" w:cs="Times New Roman" w:hint="default"/>
        <w:b w:val="0"/>
      </w:rPr>
    </w:lvl>
    <w:lvl w:ilvl="1" w:tplc="08180003" w:tentative="1">
      <w:start w:val="1"/>
      <w:numFmt w:val="bullet"/>
      <w:lvlText w:val="o"/>
      <w:lvlJc w:val="left"/>
      <w:pPr>
        <w:ind w:left="1259" w:hanging="360"/>
      </w:pPr>
      <w:rPr>
        <w:rFonts w:ascii="Courier New" w:hAnsi="Courier New" w:cs="Courier New" w:hint="default"/>
      </w:rPr>
    </w:lvl>
    <w:lvl w:ilvl="2" w:tplc="08180005" w:tentative="1">
      <w:start w:val="1"/>
      <w:numFmt w:val="bullet"/>
      <w:lvlText w:val=""/>
      <w:lvlJc w:val="left"/>
      <w:pPr>
        <w:ind w:left="1979" w:hanging="360"/>
      </w:pPr>
      <w:rPr>
        <w:rFonts w:ascii="Wingdings" w:hAnsi="Wingdings" w:hint="default"/>
      </w:rPr>
    </w:lvl>
    <w:lvl w:ilvl="3" w:tplc="08180001" w:tentative="1">
      <w:start w:val="1"/>
      <w:numFmt w:val="bullet"/>
      <w:lvlText w:val=""/>
      <w:lvlJc w:val="left"/>
      <w:pPr>
        <w:ind w:left="2699" w:hanging="360"/>
      </w:pPr>
      <w:rPr>
        <w:rFonts w:ascii="Symbol" w:hAnsi="Symbol" w:hint="default"/>
      </w:rPr>
    </w:lvl>
    <w:lvl w:ilvl="4" w:tplc="08180003" w:tentative="1">
      <w:start w:val="1"/>
      <w:numFmt w:val="bullet"/>
      <w:lvlText w:val="o"/>
      <w:lvlJc w:val="left"/>
      <w:pPr>
        <w:ind w:left="3419" w:hanging="360"/>
      </w:pPr>
      <w:rPr>
        <w:rFonts w:ascii="Courier New" w:hAnsi="Courier New" w:cs="Courier New" w:hint="default"/>
      </w:rPr>
    </w:lvl>
    <w:lvl w:ilvl="5" w:tplc="08180005" w:tentative="1">
      <w:start w:val="1"/>
      <w:numFmt w:val="bullet"/>
      <w:lvlText w:val=""/>
      <w:lvlJc w:val="left"/>
      <w:pPr>
        <w:ind w:left="4139" w:hanging="360"/>
      </w:pPr>
      <w:rPr>
        <w:rFonts w:ascii="Wingdings" w:hAnsi="Wingdings" w:hint="default"/>
      </w:rPr>
    </w:lvl>
    <w:lvl w:ilvl="6" w:tplc="08180001" w:tentative="1">
      <w:start w:val="1"/>
      <w:numFmt w:val="bullet"/>
      <w:lvlText w:val=""/>
      <w:lvlJc w:val="left"/>
      <w:pPr>
        <w:ind w:left="4859" w:hanging="360"/>
      </w:pPr>
      <w:rPr>
        <w:rFonts w:ascii="Symbol" w:hAnsi="Symbol" w:hint="default"/>
      </w:rPr>
    </w:lvl>
    <w:lvl w:ilvl="7" w:tplc="08180003" w:tentative="1">
      <w:start w:val="1"/>
      <w:numFmt w:val="bullet"/>
      <w:lvlText w:val="o"/>
      <w:lvlJc w:val="left"/>
      <w:pPr>
        <w:ind w:left="5579" w:hanging="360"/>
      </w:pPr>
      <w:rPr>
        <w:rFonts w:ascii="Courier New" w:hAnsi="Courier New" w:cs="Courier New" w:hint="default"/>
      </w:rPr>
    </w:lvl>
    <w:lvl w:ilvl="8" w:tplc="08180005" w:tentative="1">
      <w:start w:val="1"/>
      <w:numFmt w:val="bullet"/>
      <w:lvlText w:val=""/>
      <w:lvlJc w:val="left"/>
      <w:pPr>
        <w:ind w:left="6299" w:hanging="360"/>
      </w:pPr>
      <w:rPr>
        <w:rFonts w:ascii="Wingdings" w:hAnsi="Wingdings" w:hint="default"/>
      </w:rPr>
    </w:lvl>
  </w:abstractNum>
  <w:num w:numId="1" w16cid:durableId="335768134">
    <w:abstractNumId w:val="0"/>
  </w:num>
  <w:num w:numId="2" w16cid:durableId="1824540153">
    <w:abstractNumId w:val="1"/>
  </w:num>
  <w:num w:numId="3" w16cid:durableId="1975597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8"/>
  <w:proofState w:spelling="clean" w:grammar="clean"/>
  <w:defaultTabStop w:val="720"/>
  <w:hyphenationZone w:val="425"/>
  <w:evenAndOddHeaders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5602"/>
    <w:rsid w:val="00007216"/>
    <w:rsid w:val="00011539"/>
    <w:rsid w:val="00044A74"/>
    <w:rsid w:val="00076A70"/>
    <w:rsid w:val="000B1656"/>
    <w:rsid w:val="000D06BA"/>
    <w:rsid w:val="000D2E3D"/>
    <w:rsid w:val="000D390B"/>
    <w:rsid w:val="00110B13"/>
    <w:rsid w:val="001608C6"/>
    <w:rsid w:val="001723AD"/>
    <w:rsid w:val="001735F0"/>
    <w:rsid w:val="00182809"/>
    <w:rsid w:val="00183587"/>
    <w:rsid w:val="001A0647"/>
    <w:rsid w:val="001E2FB9"/>
    <w:rsid w:val="001F0F8E"/>
    <w:rsid w:val="00201F69"/>
    <w:rsid w:val="00203BAE"/>
    <w:rsid w:val="0020756A"/>
    <w:rsid w:val="0020757F"/>
    <w:rsid w:val="00212AC2"/>
    <w:rsid w:val="0022150A"/>
    <w:rsid w:val="00237D20"/>
    <w:rsid w:val="0024004F"/>
    <w:rsid w:val="00262D70"/>
    <w:rsid w:val="00266231"/>
    <w:rsid w:val="00282733"/>
    <w:rsid w:val="0031692C"/>
    <w:rsid w:val="003354BC"/>
    <w:rsid w:val="00344677"/>
    <w:rsid w:val="00356370"/>
    <w:rsid w:val="00356CB3"/>
    <w:rsid w:val="003863DC"/>
    <w:rsid w:val="00387D1C"/>
    <w:rsid w:val="003C087F"/>
    <w:rsid w:val="003C3F85"/>
    <w:rsid w:val="003F3E6A"/>
    <w:rsid w:val="00402D1A"/>
    <w:rsid w:val="00407039"/>
    <w:rsid w:val="0046214E"/>
    <w:rsid w:val="00482C44"/>
    <w:rsid w:val="0048691E"/>
    <w:rsid w:val="004961B4"/>
    <w:rsid w:val="004A3640"/>
    <w:rsid w:val="004A4B2E"/>
    <w:rsid w:val="004B5663"/>
    <w:rsid w:val="004D25FB"/>
    <w:rsid w:val="004D26B6"/>
    <w:rsid w:val="004F0B46"/>
    <w:rsid w:val="00523554"/>
    <w:rsid w:val="00556D46"/>
    <w:rsid w:val="00580BA8"/>
    <w:rsid w:val="005A6A85"/>
    <w:rsid w:val="005C3EA9"/>
    <w:rsid w:val="005E339B"/>
    <w:rsid w:val="005F4718"/>
    <w:rsid w:val="00637EC8"/>
    <w:rsid w:val="006402E5"/>
    <w:rsid w:val="006510BD"/>
    <w:rsid w:val="00673758"/>
    <w:rsid w:val="00681CD2"/>
    <w:rsid w:val="006B30D5"/>
    <w:rsid w:val="006B392D"/>
    <w:rsid w:val="006E42A1"/>
    <w:rsid w:val="006F25EE"/>
    <w:rsid w:val="00710C4E"/>
    <w:rsid w:val="007332C7"/>
    <w:rsid w:val="00745881"/>
    <w:rsid w:val="0075435B"/>
    <w:rsid w:val="00786B52"/>
    <w:rsid w:val="00794D27"/>
    <w:rsid w:val="00795661"/>
    <w:rsid w:val="007A56F6"/>
    <w:rsid w:val="007B1108"/>
    <w:rsid w:val="007B3650"/>
    <w:rsid w:val="007F0A91"/>
    <w:rsid w:val="0082438F"/>
    <w:rsid w:val="008555DD"/>
    <w:rsid w:val="00874620"/>
    <w:rsid w:val="008D6253"/>
    <w:rsid w:val="008E11B5"/>
    <w:rsid w:val="008E1E04"/>
    <w:rsid w:val="008F0F5F"/>
    <w:rsid w:val="009106D6"/>
    <w:rsid w:val="009418F5"/>
    <w:rsid w:val="00947684"/>
    <w:rsid w:val="009553A4"/>
    <w:rsid w:val="009A296D"/>
    <w:rsid w:val="009C026E"/>
    <w:rsid w:val="009F552A"/>
    <w:rsid w:val="009F70CA"/>
    <w:rsid w:val="00A0140E"/>
    <w:rsid w:val="00A07A6F"/>
    <w:rsid w:val="00A26D45"/>
    <w:rsid w:val="00A30233"/>
    <w:rsid w:val="00A75602"/>
    <w:rsid w:val="00AB3FBB"/>
    <w:rsid w:val="00AE44CE"/>
    <w:rsid w:val="00AF4D97"/>
    <w:rsid w:val="00B612CE"/>
    <w:rsid w:val="00BA582E"/>
    <w:rsid w:val="00BD417C"/>
    <w:rsid w:val="00BD5AE8"/>
    <w:rsid w:val="00BF07F5"/>
    <w:rsid w:val="00BF38D8"/>
    <w:rsid w:val="00C06FA5"/>
    <w:rsid w:val="00C20E29"/>
    <w:rsid w:val="00C729BC"/>
    <w:rsid w:val="00C775B6"/>
    <w:rsid w:val="00CA3AE8"/>
    <w:rsid w:val="00CC3788"/>
    <w:rsid w:val="00CE2313"/>
    <w:rsid w:val="00D3059E"/>
    <w:rsid w:val="00D409DD"/>
    <w:rsid w:val="00D7414C"/>
    <w:rsid w:val="00D74695"/>
    <w:rsid w:val="00D76117"/>
    <w:rsid w:val="00DA4BF4"/>
    <w:rsid w:val="00DB6506"/>
    <w:rsid w:val="00DC21D0"/>
    <w:rsid w:val="00DE7C44"/>
    <w:rsid w:val="00E270C0"/>
    <w:rsid w:val="00E377EC"/>
    <w:rsid w:val="00E6079B"/>
    <w:rsid w:val="00E73BD7"/>
    <w:rsid w:val="00E95C86"/>
    <w:rsid w:val="00EB0E0F"/>
    <w:rsid w:val="00EB1C89"/>
    <w:rsid w:val="00EB48FA"/>
    <w:rsid w:val="00EC3857"/>
    <w:rsid w:val="00EC666F"/>
    <w:rsid w:val="00ED3D89"/>
    <w:rsid w:val="00F2474C"/>
    <w:rsid w:val="00F512C5"/>
    <w:rsid w:val="00F933CE"/>
    <w:rsid w:val="00FA65B5"/>
    <w:rsid w:val="00FB21AC"/>
    <w:rsid w:val="00FC6B08"/>
    <w:rsid w:val="00FE2EC2"/>
    <w:rsid w:val="00FE5C0B"/>
    <w:rsid w:val="00FF7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01"/>
    <o:shapelayout v:ext="edit">
      <o:idmap v:ext="edit" data="1"/>
    </o:shapelayout>
  </w:shapeDefaults>
  <w:decimalSymbol w:val="."/>
  <w:listSeparator w:val=";"/>
  <w14:docId w14:val="550EB4C5"/>
  <w15:docId w15:val="{D38EB0D7-3B0E-4061-B5D3-06306F961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W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2"/>
    <w:next w:val="BodyText"/>
    <w:link w:val="Heading1Char1"/>
    <w:uiPriority w:val="99"/>
    <w:qFormat/>
    <w:rsid w:val="00BD5AE8"/>
    <w:pPr>
      <w:pageBreakBefore/>
      <w:numPr>
        <w:ilvl w:val="0"/>
      </w:numPr>
      <w:spacing w:before="0" w:line="360" w:lineRule="exact"/>
      <w:outlineLvl w:val="0"/>
    </w:pPr>
    <w:rPr>
      <w:sz w:val="32"/>
    </w:rPr>
  </w:style>
  <w:style w:type="paragraph" w:styleId="Heading2">
    <w:name w:val="heading 2"/>
    <w:aliases w:val="e2,t2,h2"/>
    <w:basedOn w:val="BodyText"/>
    <w:next w:val="BodyText"/>
    <w:link w:val="Heading2Char"/>
    <w:uiPriority w:val="99"/>
    <w:qFormat/>
    <w:rsid w:val="00BD5AE8"/>
    <w:pPr>
      <w:keepNext/>
      <w:numPr>
        <w:ilvl w:val="1"/>
        <w:numId w:val="1"/>
      </w:numPr>
      <w:spacing w:before="400" w:after="0" w:line="320" w:lineRule="exact"/>
      <w:outlineLvl w:val="1"/>
    </w:pPr>
    <w:rPr>
      <w:b/>
      <w:sz w:val="28"/>
      <w:szCs w:val="20"/>
    </w:rPr>
  </w:style>
  <w:style w:type="paragraph" w:styleId="Heading3">
    <w:name w:val="heading 3"/>
    <w:aliases w:val="e3,h3,Heading,3,1"/>
    <w:basedOn w:val="Heading4"/>
    <w:next w:val="BodyText"/>
    <w:link w:val="Heading3Char"/>
    <w:uiPriority w:val="99"/>
    <w:qFormat/>
    <w:rsid w:val="00BD5AE8"/>
    <w:pPr>
      <w:keepNext w:val="0"/>
      <w:numPr>
        <w:ilvl w:val="2"/>
      </w:numPr>
      <w:tabs>
        <w:tab w:val="clear" w:pos="0"/>
      </w:tabs>
      <w:jc w:val="both"/>
      <w:outlineLvl w:val="2"/>
    </w:pPr>
    <w:rPr>
      <w:i w:val="0"/>
    </w:rPr>
  </w:style>
  <w:style w:type="paragraph" w:styleId="Heading4">
    <w:name w:val="heading 4"/>
    <w:aliases w:val="h4"/>
    <w:basedOn w:val="Normal"/>
    <w:next w:val="Normal"/>
    <w:link w:val="Heading4Char"/>
    <w:uiPriority w:val="99"/>
    <w:qFormat/>
    <w:rsid w:val="00BD5AE8"/>
    <w:pPr>
      <w:keepNext/>
      <w:numPr>
        <w:ilvl w:val="3"/>
        <w:numId w:val="1"/>
      </w:numPr>
      <w:tabs>
        <w:tab w:val="left" w:pos="0"/>
      </w:tabs>
      <w:spacing w:before="400" w:after="0" w:line="280" w:lineRule="exact"/>
      <w:outlineLvl w:val="3"/>
    </w:pPr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5602"/>
  </w:style>
  <w:style w:type="paragraph" w:styleId="Footer">
    <w:name w:val="footer"/>
    <w:basedOn w:val="Normal"/>
    <w:link w:val="FooterChar"/>
    <w:uiPriority w:val="99"/>
    <w:unhideWhenUsed/>
    <w:rsid w:val="00A756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5602"/>
  </w:style>
  <w:style w:type="paragraph" w:styleId="BalloonText">
    <w:name w:val="Balloon Text"/>
    <w:basedOn w:val="Normal"/>
    <w:link w:val="BalloonTextChar"/>
    <w:uiPriority w:val="99"/>
    <w:semiHidden/>
    <w:unhideWhenUsed/>
    <w:rsid w:val="00523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3554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DefaultParagraphFont"/>
    <w:rsid w:val="00C06FA5"/>
  </w:style>
  <w:style w:type="character" w:styleId="Hyperlink">
    <w:name w:val="Hyperlink"/>
    <w:basedOn w:val="DefaultParagraphFont"/>
    <w:uiPriority w:val="99"/>
    <w:unhideWhenUsed/>
    <w:rsid w:val="00F512C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5AE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Light">
    <w:name w:val="Grid Table Light"/>
    <w:basedOn w:val="TableNormal"/>
    <w:uiPriority w:val="40"/>
    <w:rsid w:val="00BD5A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</w:style>
  <w:style w:type="character" w:customStyle="1" w:styleId="Heading1Char">
    <w:name w:val="Heading 1 Char"/>
    <w:basedOn w:val="DefaultParagraphFont"/>
    <w:uiPriority w:val="9"/>
    <w:rsid w:val="00BD5AE8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aliases w:val="e2 Char,t2 Char,h2 Char"/>
    <w:basedOn w:val="DefaultParagraphFont"/>
    <w:link w:val="Heading2"/>
    <w:uiPriority w:val="99"/>
    <w:rsid w:val="00BD5AE8"/>
    <w:rPr>
      <w:rFonts w:ascii="Times New Roman" w:eastAsia="Times New Roman" w:hAnsi="Times New Roman" w:cs="Times New Roman"/>
      <w:b/>
      <w:sz w:val="28"/>
      <w:szCs w:val="20"/>
      <w:lang w:val="ro-RO"/>
    </w:rPr>
  </w:style>
  <w:style w:type="character" w:customStyle="1" w:styleId="Heading3Char">
    <w:name w:val="Heading 3 Char"/>
    <w:aliases w:val="e3 Char,h3 Char,Heading Char,3 Char,1 Char"/>
    <w:basedOn w:val="DefaultParagraphFont"/>
    <w:link w:val="Heading3"/>
    <w:uiPriority w:val="99"/>
    <w:rsid w:val="00BD5AE8"/>
    <w:rPr>
      <w:rFonts w:ascii="Times New Roman" w:eastAsia="Times New Roman" w:hAnsi="Times New Roman" w:cs="Times New Roman"/>
      <w:b/>
      <w:sz w:val="24"/>
      <w:szCs w:val="20"/>
      <w:lang w:val="ro-RO"/>
    </w:rPr>
  </w:style>
  <w:style w:type="character" w:customStyle="1" w:styleId="Heading4Char">
    <w:name w:val="Heading 4 Char"/>
    <w:aliases w:val="h4 Char"/>
    <w:basedOn w:val="DefaultParagraphFont"/>
    <w:link w:val="Heading4"/>
    <w:uiPriority w:val="99"/>
    <w:rsid w:val="00BD5AE8"/>
    <w:rPr>
      <w:rFonts w:ascii="Times New Roman" w:eastAsia="Times New Roman" w:hAnsi="Times New Roman" w:cs="Times New Roman"/>
      <w:b/>
      <w:i/>
      <w:sz w:val="24"/>
      <w:szCs w:val="20"/>
      <w:lang w:val="ro-RO"/>
    </w:rPr>
  </w:style>
  <w:style w:type="paragraph" w:styleId="BodyText">
    <w:name w:val="Body Text"/>
    <w:basedOn w:val="Normal"/>
    <w:link w:val="BodyTextChar"/>
    <w:uiPriority w:val="99"/>
    <w:rsid w:val="00BD5AE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BodyTextChar">
    <w:name w:val="Body Text Char"/>
    <w:basedOn w:val="DefaultParagraphFont"/>
    <w:link w:val="BodyText"/>
    <w:uiPriority w:val="99"/>
    <w:rsid w:val="00BD5AE8"/>
    <w:rPr>
      <w:rFonts w:ascii="Times New Roman" w:eastAsia="Times New Roman" w:hAnsi="Times New Roman" w:cs="Times New Roman"/>
      <w:sz w:val="24"/>
      <w:szCs w:val="24"/>
      <w:lang w:val="ro-RO"/>
    </w:rPr>
  </w:style>
  <w:style w:type="character" w:customStyle="1" w:styleId="Heading1Char1">
    <w:name w:val="Heading 1 Char1"/>
    <w:link w:val="Heading1"/>
    <w:uiPriority w:val="99"/>
    <w:locked/>
    <w:rsid w:val="00BD5AE8"/>
    <w:rPr>
      <w:rFonts w:ascii="Times New Roman" w:eastAsia="Times New Roman" w:hAnsi="Times New Roman" w:cs="Times New Roman"/>
      <w:b/>
      <w:sz w:val="32"/>
      <w:szCs w:val="20"/>
      <w:lang w:val="ro-RO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E2FB9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E2FB9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E2FB9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8280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82809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82809"/>
    <w:rPr>
      <w:vertAlign w:val="superscript"/>
    </w:rPr>
  </w:style>
  <w:style w:type="paragraph" w:styleId="Revision">
    <w:name w:val="Revision"/>
    <w:hidden/>
    <w:uiPriority w:val="99"/>
    <w:semiHidden/>
    <w:rsid w:val="005E339B"/>
    <w:pPr>
      <w:spacing w:after="0" w:line="240" w:lineRule="auto"/>
    </w:pPr>
  </w:style>
  <w:style w:type="table" w:styleId="TableGrid">
    <w:name w:val="Table Grid"/>
    <w:basedOn w:val="TableNormal"/>
    <w:uiPriority w:val="99"/>
    <w:rsid w:val="00DB6506"/>
    <w:pPr>
      <w:spacing w:after="0" w:line="240" w:lineRule="auto"/>
      <w:jc w:val="right"/>
    </w:pPr>
    <w:rPr>
      <w:rFonts w:ascii="Times New Roman" w:eastAsia="Times New Roman" w:hAnsi="Times New Roman" w:cs="Times New Roman"/>
      <w:sz w:val="20"/>
      <w:szCs w:val="20"/>
      <w:lang w:val="ro-RO" w:eastAsia="ro-RO"/>
    </w:rPr>
    <w:tblPr/>
    <w:tcPr>
      <w:vAlign w:val="bottom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34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numbering.xml" Type="http://schemas.openxmlformats.org/officeDocument/2006/relationships/numbering"/><Relationship Id="rId4" Target="styles.xml" Type="http://schemas.openxmlformats.org/officeDocument/2006/relationships/style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_rels/header1.xml.rels><?xml version="1.0" encoding="UTF-8" standalone="no"?><Relationships xmlns="http://schemas.openxmlformats.org/package/2006/relationships"><Relationship Id="rId1" Target="media/image1.pn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no"?><Relationships xmlns="http://schemas.openxmlformats.org/package/2006/relationships"><Relationship Id="rId1" Target="itemProps2.xml" Type="http://schemas.openxmlformats.org/officeDocument/2006/relationships/customXmlProps"/></Relationships>
</file>

<file path=customXml/item1.xml><?xml version="1.0" encoding="utf-8"?>
<titus xmlns="http://schemas.titus.com/TitusProperties/">
  <TitusGUID xmlns="">7d94ceb1-51cc-4085-b648-7833d86218cb</TitusGUID>
  <TitusMetadata xmlns="">eyJucyI6IioiLCJwcm9wcyI6W3sibiI6IkNsYXNpZmljYXJlIiwidmFscyI6W3sidmFsdWUiOiJOT05FIn1dfV19</TitusMetadata>
</titu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85302-ABFC-4E0C-B258-E8C2B65AD6C4}">
  <ds:schemaRefs>
    <ds:schemaRef ds:uri="http://schemas.titus.com/TitusProperties/"/>
    <ds:schemaRef ds:uri=""/>
  </ds:schemaRefs>
</ds:datastoreItem>
</file>

<file path=customXml/itemProps2.xml><?xml version="1.0" encoding="utf-8"?>
<ds:datastoreItem xmlns:ds="http://schemas.openxmlformats.org/officeDocument/2006/customXml" ds:itemID="{51441C3E-95DB-4721-9803-151F0E947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597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2024-12-09T17:16:00Z</dcterms:created>
  <cp:lastPrinted>2023-10-09T11:59:00Z</cp:lastPrinted>
  <dcterms:modified xsi:type="dcterms:W3CDTF">2024-12-09T17:16:00Z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ba94ac4d-ddeb-4f41-95be-4d6d41f5c474</vt:lpwstr>
  </property>
  <property fmtid="{D5CDD505-2E9C-101B-9397-08002B2CF9AE}" pid="3" name="Clasificare">
    <vt:lpwstr>NONE</vt:lpwstr>
  </property>
  <property fmtid="{D5CDD505-2E9C-101B-9397-08002B2CF9AE}" pid="4" name="MSIP_Label_38962dcf-d39f-4edc-a396-338a56ba9170_Enabled">
    <vt:lpwstr>true</vt:lpwstr>
  </property>
  <property fmtid="{D5CDD505-2E9C-101B-9397-08002B2CF9AE}" pid="5" name="MSIP_Label_38962dcf-d39f-4edc-a396-338a56ba9170_SetDate">
    <vt:lpwstr>2024-12-09T07:02:22Z</vt:lpwstr>
  </property>
  <property fmtid="{D5CDD505-2E9C-101B-9397-08002B2CF9AE}" pid="6" name="MSIP_Label_38962dcf-d39f-4edc-a396-338a56ba9170_Method">
    <vt:lpwstr>Privileged</vt:lpwstr>
  </property>
  <property fmtid="{D5CDD505-2E9C-101B-9397-08002B2CF9AE}" pid="7" name="MSIP_Label_38962dcf-d39f-4edc-a396-338a56ba9170_Name">
    <vt:lpwstr>NONE</vt:lpwstr>
  </property>
  <property fmtid="{D5CDD505-2E9C-101B-9397-08002B2CF9AE}" pid="8" name="MSIP_Label_38962dcf-d39f-4edc-a396-338a56ba9170_SiteId">
    <vt:lpwstr>5887d430-0034-4561-b771-12c77faf2fa0</vt:lpwstr>
  </property>
  <property fmtid="{D5CDD505-2E9C-101B-9397-08002B2CF9AE}" pid="9" name="MSIP_Label_38962dcf-d39f-4edc-a396-338a56ba9170_ActionId">
    <vt:lpwstr>978380bd-1195-49cb-bc5e-19820b7d8b5c</vt:lpwstr>
  </property>
  <property fmtid="{D5CDD505-2E9C-101B-9397-08002B2CF9AE}" pid="10" name="MSIP_Label_38962dcf-d39f-4edc-a396-338a56ba9170_ContentBits">
    <vt:lpwstr>0</vt:lpwstr>
  </property>
</Properties>
</file>