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3C80" w14:textId="77777777" w:rsidR="00DA4BF4" w:rsidRDefault="00DA4BF4">
      <w:pPr>
        <w:rPr>
          <w:sz w:val="2"/>
          <w:szCs w:val="2"/>
        </w:rPr>
      </w:pPr>
    </w:p>
    <w:p w14:paraId="3C20A73C" w14:textId="77777777" w:rsidR="00D3059E" w:rsidRPr="00D3059E" w:rsidRDefault="00D3059E">
      <w:pPr>
        <w:rPr>
          <w:sz w:val="2"/>
          <w:szCs w:val="2"/>
        </w:rPr>
      </w:pPr>
    </w:p>
    <w:tbl>
      <w:tblPr>
        <w:tblpPr w:leftFromText="180" w:rightFromText="180" w:vertAnchor="page" w:horzAnchor="margin" w:tblpY="1793"/>
        <w:tblW w:w="9324" w:type="dxa"/>
        <w:tblLook w:val="0000" w:firstRow="0" w:lastRow="0" w:firstColumn="0" w:lastColumn="0" w:noHBand="0" w:noVBand="0"/>
      </w:tblPr>
      <w:tblGrid>
        <w:gridCol w:w="9324"/>
      </w:tblGrid>
      <w:tr w:rsidR="0024004F" w:rsidRPr="00E377EC" w14:paraId="7EF5BF3B" w14:textId="77777777" w:rsidTr="00D3059E">
        <w:trPr>
          <w:trHeight w:val="421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C6D22" w14:textId="77777777" w:rsidR="0024004F" w:rsidRDefault="0024004F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E270C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SITUAŢIA </w:t>
            </w:r>
            <w:r w:rsidR="00580BA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INDIVIDUAL</w:t>
            </w:r>
            <w:r w:rsidR="00580BA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Ă A </w:t>
            </w:r>
            <w:r w:rsidRPr="00E270C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REZULTATULUI GLOBAL</w:t>
            </w:r>
          </w:p>
          <w:p w14:paraId="7D619BD9" w14:textId="6001836D" w:rsidR="00333E9F" w:rsidRPr="00E270C0" w:rsidRDefault="00333E9F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neauditată</w:t>
            </w:r>
            <w:proofErr w:type="spellEnd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  <w:p w14:paraId="16B37E02" w14:textId="3FAB70C8" w:rsidR="0024004F" w:rsidRPr="00E270C0" w:rsidRDefault="0024004F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24004F" w:rsidRPr="00795661" w14:paraId="4D5917F2" w14:textId="77777777" w:rsidTr="00D3059E">
        <w:trPr>
          <w:trHeight w:val="573"/>
        </w:trPr>
        <w:tc>
          <w:tcPr>
            <w:tcW w:w="9324" w:type="dxa"/>
            <w:tcBorders>
              <w:top w:val="nil"/>
              <w:left w:val="nil"/>
              <w:right w:val="nil"/>
            </w:tcBorders>
            <w:vAlign w:val="center"/>
          </w:tcPr>
          <w:p w14:paraId="2180FF52" w14:textId="601C7C70" w:rsidR="0024004F" w:rsidRDefault="00CC3788" w:rsidP="00DA4B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</w:pPr>
            <w:r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Pentru </w:t>
            </w:r>
            <w:r w:rsidR="009F4D28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9</w:t>
            </w:r>
            <w:r w:rsidR="00FE2EC2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luni încheiate</w:t>
            </w:r>
            <w:r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la </w:t>
            </w:r>
            <w:r w:rsidR="009F4D28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30</w:t>
            </w:r>
            <w:r w:rsidR="00C775B6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9F4D28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septembrie</w:t>
            </w:r>
            <w:r w:rsidR="006510BD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8D6253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202</w:t>
            </w:r>
            <w:r w:rsidR="009369E0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5</w:t>
            </w:r>
          </w:p>
          <w:p w14:paraId="75245849" w14:textId="77777777" w:rsidR="009061AD" w:rsidRDefault="009061AD" w:rsidP="00DA4B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</w:pPr>
          </w:p>
          <w:p w14:paraId="34B63697" w14:textId="4C85A813" w:rsidR="009061AD" w:rsidRPr="00D3059E" w:rsidRDefault="009061AD" w:rsidP="00DA4B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ro-MD"/>
              </w:rPr>
            </w:pPr>
          </w:p>
        </w:tc>
      </w:tr>
    </w:tbl>
    <w:tbl>
      <w:tblPr>
        <w:tblStyle w:val="TableGridLight"/>
        <w:tblpPr w:leftFromText="180" w:rightFromText="180" w:vertAnchor="text" w:horzAnchor="margin" w:tblpY="99"/>
        <w:tblW w:w="1021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846"/>
        <w:gridCol w:w="108"/>
        <w:gridCol w:w="1593"/>
        <w:gridCol w:w="105"/>
        <w:gridCol w:w="732"/>
        <w:gridCol w:w="882"/>
        <w:gridCol w:w="111"/>
        <w:gridCol w:w="732"/>
      </w:tblGrid>
      <w:tr w:rsidR="00BB29AE" w:rsidRPr="00C1261D" w14:paraId="7B68D468" w14:textId="77777777" w:rsidTr="00380D54">
        <w:trPr>
          <w:gridBefore w:val="1"/>
          <w:gridAfter w:val="1"/>
          <w:wBefore w:w="108" w:type="dxa"/>
          <w:wAfter w:w="732" w:type="dxa"/>
          <w:trHeight w:val="208"/>
        </w:trPr>
        <w:tc>
          <w:tcPr>
            <w:tcW w:w="5954" w:type="dxa"/>
            <w:gridSpan w:val="2"/>
            <w:vMerge w:val="restart"/>
            <w:noWrap/>
          </w:tcPr>
          <w:p w14:paraId="7B330A9D" w14:textId="77777777" w:rsidR="00BB29AE" w:rsidRPr="00333E9F" w:rsidRDefault="00BB29AE" w:rsidP="009F4D28">
            <w:pPr>
              <w:contextualSpacing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br w:type="page"/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702B1F0B" w14:textId="78F367C8" w:rsidR="00BB29AE" w:rsidRPr="00333E9F" w:rsidRDefault="009F4D28" w:rsidP="009F4D28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30 septembrie</w:t>
            </w:r>
          </w:p>
          <w:p w14:paraId="4152EC7F" w14:textId="4FC924BF" w:rsidR="00BB29AE" w:rsidRPr="00333E9F" w:rsidRDefault="00BB29AE" w:rsidP="009F4D28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9369E0"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5A9EC4AD" w14:textId="77777777" w:rsidR="009F4D28" w:rsidRPr="00333E9F" w:rsidRDefault="009F4D28" w:rsidP="009F4D28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30 septembrie</w:t>
            </w:r>
          </w:p>
          <w:p w14:paraId="46425FFA" w14:textId="22EB2CBE" w:rsidR="00BB29AE" w:rsidRPr="00333E9F" w:rsidRDefault="00BB29AE" w:rsidP="009F4D28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9369E0"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4</w:t>
            </w:r>
          </w:p>
        </w:tc>
      </w:tr>
      <w:tr w:rsidR="00BB29AE" w:rsidRPr="00C1261D" w14:paraId="71FD643A" w14:textId="77777777" w:rsidTr="00380D54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vMerge/>
            <w:noWrap/>
          </w:tcPr>
          <w:p w14:paraId="7FA98AC5" w14:textId="77777777" w:rsidR="00BB29AE" w:rsidRPr="00333E9F" w:rsidRDefault="00BB29AE" w:rsidP="009F4D28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nil"/>
            </w:tcBorders>
          </w:tcPr>
          <w:p w14:paraId="263DA479" w14:textId="77777777" w:rsidR="00BB29AE" w:rsidRPr="00333E9F" w:rsidRDefault="00BB29AE" w:rsidP="009F4D28">
            <w:pPr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nil"/>
            </w:tcBorders>
          </w:tcPr>
          <w:p w14:paraId="25DB8801" w14:textId="77777777" w:rsidR="00BB29AE" w:rsidRPr="00333E9F" w:rsidRDefault="00BB29AE" w:rsidP="009F4D28">
            <w:pPr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BB29AE" w:rsidRPr="00C1261D" w14:paraId="349D207C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</w:tcPr>
          <w:p w14:paraId="20FB0B6B" w14:textId="77777777" w:rsidR="00BB29AE" w:rsidRPr="00333E9F" w:rsidRDefault="00BB29AE" w:rsidP="009F4D28">
            <w:pPr>
              <w:ind w:right="-120"/>
              <w:contextualSpacing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  <w:vAlign w:val="center"/>
          </w:tcPr>
          <w:p w14:paraId="59F1D592" w14:textId="77777777" w:rsidR="00BB29AE" w:rsidRPr="00333E9F" w:rsidRDefault="00BB29AE" w:rsidP="009F4D28">
            <w:pPr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  <w:noWrap/>
            <w:vAlign w:val="center"/>
          </w:tcPr>
          <w:p w14:paraId="2D9B29BE" w14:textId="77777777" w:rsidR="00BB29AE" w:rsidRPr="00333E9F" w:rsidRDefault="00BB29AE" w:rsidP="009F4D28">
            <w:pPr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</w:tr>
      <w:tr w:rsidR="00BB29AE" w:rsidRPr="00C1261D" w14:paraId="644259FF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AF4134F" w14:textId="77777777" w:rsidR="00BB29AE" w:rsidRPr="00333E9F" w:rsidRDefault="00BB29AE" w:rsidP="009F4D28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Venituri din dobânzi din activele oficiale de rezervă</w:t>
            </w:r>
          </w:p>
        </w:tc>
        <w:tc>
          <w:tcPr>
            <w:tcW w:w="1698" w:type="dxa"/>
            <w:gridSpan w:val="2"/>
            <w:vAlign w:val="center"/>
          </w:tcPr>
          <w:p w14:paraId="50958481" w14:textId="77777777" w:rsidR="00BB29AE" w:rsidRPr="00333E9F" w:rsidRDefault="00BB29AE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13093BA8" w14:textId="77777777" w:rsidR="00BB29AE" w:rsidRPr="00333E9F" w:rsidRDefault="00BB29AE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9F4D28" w:rsidRPr="00C1261D" w14:paraId="29AA4D7E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0836DCB" w14:textId="77777777" w:rsidR="009F4D28" w:rsidRPr="00333E9F" w:rsidRDefault="009F4D28" w:rsidP="009F4D28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plasamente pe termen scurt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D17DCA3" w14:textId="171FD226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 xml:space="preserve">225 806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07783588" w14:textId="0F2FA5D2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color w:val="000000"/>
                <w:sz w:val="22"/>
                <w:szCs w:val="22"/>
              </w:rPr>
              <w:t>457 006</w:t>
            </w:r>
          </w:p>
        </w:tc>
      </w:tr>
      <w:tr w:rsidR="009F4D28" w:rsidRPr="00C1261D" w14:paraId="23D420E1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56B9F43" w14:textId="77777777" w:rsidR="009F4D28" w:rsidRPr="00333E9F" w:rsidRDefault="009F4D28" w:rsidP="009F4D28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0CC98191" w14:textId="03E07FC2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 xml:space="preserve">2 128 184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297C624E" w14:textId="3C3BE39A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color w:val="000000"/>
                <w:sz w:val="22"/>
                <w:szCs w:val="22"/>
              </w:rPr>
              <w:t>2 436 957</w:t>
            </w:r>
          </w:p>
        </w:tc>
      </w:tr>
      <w:tr w:rsidR="009F4D28" w:rsidRPr="00C1261D" w14:paraId="6B8EEE33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BFE29B6" w14:textId="77777777" w:rsidR="009F4D28" w:rsidRPr="00333E9F" w:rsidRDefault="009F4D28" w:rsidP="009F4D28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092FA05" w14:textId="35FBF1D0" w:rsidR="009F4D28" w:rsidRPr="009F4D28" w:rsidRDefault="009F4D28" w:rsidP="009F4D28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2 353 990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218E4F8F" w14:textId="288FA0E3" w:rsidR="009F4D28" w:rsidRPr="009F4D28" w:rsidRDefault="009F4D28" w:rsidP="009F4D28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2 893 963 </w:t>
            </w:r>
          </w:p>
        </w:tc>
      </w:tr>
      <w:tr w:rsidR="009369E0" w:rsidRPr="00C1261D" w14:paraId="3D0E49B1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5550A48" w14:textId="05E624DF" w:rsidR="009369E0" w:rsidRPr="00333E9F" w:rsidRDefault="009369E0" w:rsidP="009F4D28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din dobânzi din instrumente în moned</w:t>
            </w:r>
            <w:r w:rsidR="00333E9F"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a</w:t>
            </w: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națională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  <w:vAlign w:val="center"/>
          </w:tcPr>
          <w:p w14:paraId="0A785609" w14:textId="77777777" w:rsidR="009369E0" w:rsidRPr="009F4D28" w:rsidRDefault="009369E0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45893DA2" w14:textId="77777777" w:rsidR="009369E0" w:rsidRPr="009F4D28" w:rsidRDefault="009369E0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9F4D28" w:rsidRPr="00C1261D" w14:paraId="5F44AF33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82DDCF8" w14:textId="77777777" w:rsidR="009F4D28" w:rsidRPr="00333E9F" w:rsidRDefault="009F4D28" w:rsidP="009F4D28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t xml:space="preserve">Venituri din dobânzi la creditele acordate și </w:t>
            </w:r>
            <w:proofErr w:type="spellStart"/>
            <w:r w:rsidRPr="00333E9F">
              <w:rPr>
                <w:rFonts w:ascii="PermianSerifTypeface" w:hAnsi="PermianSerifTypeface"/>
                <w:sz w:val="22"/>
                <w:szCs w:val="22"/>
              </w:rPr>
              <w:t>repo</w:t>
            </w:r>
            <w:proofErr w:type="spellEnd"/>
            <w:r w:rsidRPr="00333E9F">
              <w:rPr>
                <w:rFonts w:ascii="PermianSerifTypeface" w:hAnsi="PermianSerifTypeface"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428315D9" w14:textId="49FF01AA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 xml:space="preserve">7 210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9E9F40F" w14:textId="584D844D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4 572 </w:t>
            </w:r>
          </w:p>
        </w:tc>
      </w:tr>
      <w:tr w:rsidR="009F4D28" w:rsidRPr="00C1261D" w14:paraId="6FBD74BD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90229DE" w14:textId="77777777" w:rsidR="009F4D28" w:rsidRPr="00333E9F" w:rsidRDefault="009F4D28" w:rsidP="009F4D28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30D0A89" w14:textId="4356DAC4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 xml:space="preserve">507 801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659D7EC" w14:textId="1C893E0E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544 428 </w:t>
            </w:r>
          </w:p>
        </w:tc>
      </w:tr>
      <w:tr w:rsidR="009F4D28" w:rsidRPr="00C1261D" w14:paraId="2A103811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234682D" w14:textId="77777777" w:rsidR="009F4D28" w:rsidRPr="00333E9F" w:rsidRDefault="009F4D28" w:rsidP="009F4D28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F8D6761" w14:textId="5F66548A" w:rsidR="009F4D28" w:rsidRPr="009F4D28" w:rsidRDefault="009F4D28" w:rsidP="009F4D28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515 011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EC3D6B2" w14:textId="230C598A" w:rsidR="009F4D28" w:rsidRPr="009F4D28" w:rsidRDefault="009F4D28" w:rsidP="009F4D28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549 000 </w:t>
            </w:r>
          </w:p>
        </w:tc>
      </w:tr>
      <w:tr w:rsidR="009F4D28" w:rsidRPr="00C1261D" w14:paraId="1F807BEA" w14:textId="77777777" w:rsidTr="009F4D28">
        <w:trPr>
          <w:gridBefore w:val="1"/>
          <w:gridAfter w:val="1"/>
          <w:wBefore w:w="108" w:type="dxa"/>
          <w:wAfter w:w="732" w:type="dxa"/>
          <w:trHeight w:val="219"/>
        </w:trPr>
        <w:tc>
          <w:tcPr>
            <w:tcW w:w="5954" w:type="dxa"/>
            <w:gridSpan w:val="2"/>
            <w:noWrap/>
            <w:vAlign w:val="center"/>
          </w:tcPr>
          <w:p w14:paraId="4B43B001" w14:textId="77777777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din dobânzi calculate utilizând metoda dobânzii efective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C3E94E" w14:textId="14666BDA" w:rsidR="009F4D28" w:rsidRPr="009F4D28" w:rsidRDefault="009F4D28" w:rsidP="009F4D28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2 869 001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CDA5876" w14:textId="78753DC6" w:rsidR="009F4D28" w:rsidRPr="009F4D28" w:rsidRDefault="009F4D28" w:rsidP="009F4D28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3 442 963 </w:t>
            </w:r>
          </w:p>
        </w:tc>
      </w:tr>
      <w:tr w:rsidR="009369E0" w:rsidRPr="00C1261D" w14:paraId="4CF05DDA" w14:textId="77777777" w:rsidTr="009F4D28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1F1E79B4" w14:textId="77777777" w:rsidR="009369E0" w:rsidRPr="00333E9F" w:rsidDel="00C62852" w:rsidRDefault="009369E0" w:rsidP="009F4D28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F2FC2FB" w14:textId="77777777" w:rsidR="009369E0" w:rsidRPr="009F4D28" w:rsidRDefault="009369E0" w:rsidP="009F4D28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16581A29" w14:textId="77777777" w:rsidR="009369E0" w:rsidRPr="009F4D28" w:rsidRDefault="009369E0" w:rsidP="009F4D28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</w:p>
        </w:tc>
      </w:tr>
      <w:tr w:rsidR="009369E0" w:rsidRPr="00C1261D" w14:paraId="3D27FB32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C4D4E8F" w14:textId="3A1C1143" w:rsidR="009369E0" w:rsidRPr="00333E9F" w:rsidRDefault="009369E0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Cheltuieli cu dobânzi în moned</w:t>
            </w:r>
            <w:r w:rsidR="00333E9F"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a</w:t>
            </w: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națională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CCBA008" w14:textId="77777777" w:rsidR="009369E0" w:rsidRPr="009F4D28" w:rsidRDefault="009369E0" w:rsidP="009F4D28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AC75C2D" w14:textId="77777777" w:rsidR="009369E0" w:rsidRPr="009F4D28" w:rsidRDefault="009369E0" w:rsidP="009F4D28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9F4D28" w:rsidRPr="00C1261D" w14:paraId="2A4A159C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1DC86A1" w14:textId="77777777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t>Cheltuieli cu dobânzi aferente disponibilităților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4425A3AF" w14:textId="2237A2CD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>(723 575)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3053834" w14:textId="0AAD7A87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 xml:space="preserve"> (642 615)</w:t>
            </w:r>
          </w:p>
        </w:tc>
      </w:tr>
      <w:tr w:rsidR="009F4D28" w:rsidRPr="00C1261D" w14:paraId="04343ED2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72BB8BE" w14:textId="77777777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t xml:space="preserve">Cheltuieli cu dobânzi aferente operațiunilor cu valori mobiliare și </w:t>
            </w:r>
            <w:proofErr w:type="spellStart"/>
            <w:r w:rsidRPr="00333E9F">
              <w:rPr>
                <w:rFonts w:ascii="PermianSerifTypeface" w:hAnsi="PermianSerifTypeface"/>
                <w:sz w:val="22"/>
                <w:szCs w:val="22"/>
              </w:rPr>
              <w:t>repo</w:t>
            </w:r>
            <w:proofErr w:type="spellEnd"/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35B3E44" w14:textId="3A88C84B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>(325 669)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E70B09D" w14:textId="57ABBDB7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 xml:space="preserve"> (304 029)</w:t>
            </w:r>
          </w:p>
        </w:tc>
      </w:tr>
      <w:tr w:rsidR="009F4D28" w:rsidRPr="00C1261D" w14:paraId="6A29B5A5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35AB236" w14:textId="77777777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2973BD1A" w14:textId="2FF9B8A6" w:rsidR="009F4D28" w:rsidRPr="009F4D28" w:rsidRDefault="009F4D28" w:rsidP="009F4D28">
            <w:pPr>
              <w:jc w:val="right"/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(1 049 244)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82A4F1B" w14:textId="197E6BEF" w:rsidR="009F4D28" w:rsidRPr="009F4D28" w:rsidRDefault="009F4D28" w:rsidP="009F4D28">
            <w:pPr>
              <w:jc w:val="right"/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(946 644)</w:t>
            </w:r>
          </w:p>
        </w:tc>
      </w:tr>
      <w:tr w:rsidR="009369E0" w:rsidRPr="00C1261D" w14:paraId="059A4C07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D2A57ED" w14:textId="77777777" w:rsidR="009369E0" w:rsidRPr="00333E9F" w:rsidRDefault="009369E0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Cheltuieli cu dobânzi în valută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3C7C08E6" w14:textId="77777777" w:rsidR="009369E0" w:rsidRPr="009F4D28" w:rsidRDefault="009369E0" w:rsidP="009F4D28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D6E254F" w14:textId="77777777" w:rsidR="009369E0" w:rsidRPr="009F4D28" w:rsidRDefault="009369E0" w:rsidP="009F4D28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9F4D28" w:rsidRPr="00C1261D" w14:paraId="51BDD910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B6353A1" w14:textId="77777777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t xml:space="preserve">Cheltuieli cu dobânzi la creditele primite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C8C0BF8" w14:textId="0EC0B2F4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>(16 601)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3B42A0C" w14:textId="19AB20A5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(30 992)</w:t>
            </w:r>
          </w:p>
        </w:tc>
      </w:tr>
      <w:tr w:rsidR="009F4D28" w:rsidRPr="00C1261D" w14:paraId="71C454BE" w14:textId="77777777" w:rsidTr="009F4D28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7B3D1852" w14:textId="77777777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DAF600" w14:textId="75120C0E" w:rsidR="009F4D28" w:rsidRPr="009F4D28" w:rsidRDefault="009F4D28" w:rsidP="009F4D28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(16 601)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781C53B6" w14:textId="66D67166" w:rsidR="009F4D28" w:rsidRPr="009F4D28" w:rsidRDefault="009F4D28" w:rsidP="009F4D28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(30 992)</w:t>
            </w:r>
          </w:p>
        </w:tc>
      </w:tr>
      <w:tr w:rsidR="009F4D28" w:rsidRPr="00C1261D" w14:paraId="006C55B6" w14:textId="77777777" w:rsidTr="009F4D28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3F3DEF5" w14:textId="77777777" w:rsidR="009F4D28" w:rsidRPr="00333E9F" w:rsidRDefault="009F4D28" w:rsidP="009F4D28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sz w:val="22"/>
                <w:szCs w:val="22"/>
              </w:rPr>
              <w:t xml:space="preserve">Cheltuieli cu dobânzi 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DBD2011" w14:textId="5F208BE7" w:rsidR="009F4D28" w:rsidRPr="009F4D28" w:rsidRDefault="009F4D28" w:rsidP="009F4D28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(1 065 845)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B83F575" w14:textId="03DCCC39" w:rsidR="009F4D28" w:rsidRPr="009F4D28" w:rsidRDefault="009F4D28" w:rsidP="009F4D28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(977 636)</w:t>
            </w:r>
          </w:p>
        </w:tc>
      </w:tr>
      <w:tr w:rsidR="009F4D28" w:rsidRPr="00C1261D" w14:paraId="4AB21C53" w14:textId="77777777" w:rsidTr="009F4D28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27DA45C6" w14:textId="77777777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t>Alte cheltuieli similare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BB38EC0" w14:textId="21E75DBE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>(87)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2784314" w14:textId="1A4D0D24" w:rsidR="009F4D28" w:rsidRPr="009F4D28" w:rsidRDefault="009F4D28" w:rsidP="009F4D28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color w:val="000000"/>
                <w:sz w:val="22"/>
                <w:szCs w:val="22"/>
              </w:rPr>
              <w:t>(207)</w:t>
            </w:r>
          </w:p>
        </w:tc>
      </w:tr>
      <w:tr w:rsidR="009F4D28" w:rsidRPr="00C1261D" w14:paraId="1F47D2C8" w14:textId="77777777" w:rsidTr="009F4D28">
        <w:trPr>
          <w:gridBefore w:val="1"/>
          <w:gridAfter w:val="1"/>
          <w:wBefore w:w="108" w:type="dxa"/>
          <w:wAfter w:w="732" w:type="dxa"/>
          <w:trHeight w:val="45"/>
        </w:trPr>
        <w:tc>
          <w:tcPr>
            <w:tcW w:w="5954" w:type="dxa"/>
            <w:gridSpan w:val="2"/>
            <w:noWrap/>
            <w:vAlign w:val="center"/>
          </w:tcPr>
          <w:p w14:paraId="438B52B3" w14:textId="4F38961E" w:rsidR="009F4D28" w:rsidRPr="00333E9F" w:rsidRDefault="009F4D28" w:rsidP="009F4D28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nete din dobânzi și alte cheltuieli similare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52F0821B" w14:textId="675B3C41" w:rsidR="009F4D28" w:rsidRPr="009F4D28" w:rsidRDefault="009F4D28" w:rsidP="009F4D28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1 803 069 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6FBC20EB" w14:textId="6C2F2A19" w:rsidR="009F4D28" w:rsidRPr="009F4D28" w:rsidRDefault="009F4D28" w:rsidP="009F4D28">
            <w:pPr>
              <w:tabs>
                <w:tab w:val="left" w:pos="1712"/>
              </w:tabs>
              <w:jc w:val="right"/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2 465 120</w:t>
            </w:r>
          </w:p>
        </w:tc>
      </w:tr>
      <w:tr w:rsidR="009369E0" w:rsidRPr="00C1261D" w14:paraId="70ADEB4B" w14:textId="77777777" w:rsidTr="009F4D28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216DFC6E" w14:textId="77777777" w:rsidR="009369E0" w:rsidRPr="00333E9F" w:rsidRDefault="009369E0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1379BD2A" w14:textId="77777777" w:rsidR="009369E0" w:rsidRPr="009F4D28" w:rsidRDefault="009369E0" w:rsidP="009F4D28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405AA663" w14:textId="77777777" w:rsidR="009369E0" w:rsidRPr="009F4D28" w:rsidRDefault="009369E0" w:rsidP="009F4D28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</w:tr>
      <w:tr w:rsidR="009F4D28" w:rsidRPr="00C1261D" w14:paraId="195503A1" w14:textId="77777777" w:rsidTr="009F4D28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5B289973" w14:textId="5D277CF5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  <w:lang w:val="en-ZW"/>
              </w:rPr>
              <w:t>(</w:t>
            </w:r>
            <w:proofErr w:type="spellStart"/>
            <w:r w:rsidRPr="00333E9F">
              <w:rPr>
                <w:rFonts w:ascii="PermianSerifTypeface" w:hAnsi="PermianSerifTypeface"/>
                <w:sz w:val="22"/>
                <w:szCs w:val="22"/>
                <w:lang w:val="en-ZW"/>
              </w:rPr>
              <w:t>Pierderi</w:t>
            </w:r>
            <w:proofErr w:type="spellEnd"/>
            <w:r w:rsidRPr="00333E9F">
              <w:rPr>
                <w:rFonts w:ascii="PermianSerifTypeface" w:hAnsi="PermianSerifTypeface"/>
                <w:sz w:val="22"/>
                <w:szCs w:val="22"/>
                <w:lang w:val="en-ZW"/>
              </w:rPr>
              <w:t>)</w:t>
            </w:r>
            <w:r w:rsidRPr="00333E9F">
              <w:rPr>
                <w:rFonts w:ascii="PermianSerifTypeface" w:hAnsi="PermianSerifTypeface"/>
                <w:sz w:val="22"/>
                <w:szCs w:val="22"/>
              </w:rPr>
              <w:t>/Venituri din tranzacții, diferențe de curs valutar și din reevaluarea metalelor prețioase</w:t>
            </w:r>
          </w:p>
        </w:tc>
        <w:tc>
          <w:tcPr>
            <w:tcW w:w="1698" w:type="dxa"/>
            <w:gridSpan w:val="2"/>
            <w:vAlign w:val="center"/>
          </w:tcPr>
          <w:p w14:paraId="3F93BEB3" w14:textId="0F67D05A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>(3 280 847)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22079E6A" w14:textId="5821EEBE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sz w:val="22"/>
                <w:szCs w:val="22"/>
              </w:rPr>
              <w:t>413 286</w:t>
            </w:r>
          </w:p>
        </w:tc>
      </w:tr>
      <w:tr w:rsidR="009F4D28" w:rsidRPr="00C1261D" w14:paraId="41B11AF1" w14:textId="77777777" w:rsidTr="009F4D28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6D78F706" w14:textId="3CBF7E93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proofErr w:type="spellStart"/>
            <w:r w:rsidRPr="00333E9F">
              <w:rPr>
                <w:rFonts w:ascii="PermianSerifTypeface" w:hAnsi="PermianSerifTypeface"/>
                <w:sz w:val="22"/>
                <w:szCs w:val="22"/>
                <w:lang w:val="en-ZW"/>
              </w:rPr>
              <w:t>Venituri</w:t>
            </w:r>
            <w:proofErr w:type="spellEnd"/>
            <w:r w:rsidRPr="00333E9F">
              <w:rPr>
                <w:rFonts w:ascii="PermianSerifTypeface" w:hAnsi="PermianSerifTypeface"/>
                <w:sz w:val="22"/>
                <w:szCs w:val="22"/>
              </w:rPr>
              <w:t xml:space="preserve"> din tranzacții cu active financiare evaluate la valoarea justă prin profit sau pierdere</w:t>
            </w:r>
          </w:p>
        </w:tc>
        <w:tc>
          <w:tcPr>
            <w:tcW w:w="1698" w:type="dxa"/>
            <w:gridSpan w:val="2"/>
            <w:vAlign w:val="center"/>
          </w:tcPr>
          <w:p w14:paraId="54A9A294" w14:textId="47444191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 xml:space="preserve">19 787 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ACEFC48" w14:textId="6DBC2C30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</w:tr>
      <w:tr w:rsidR="009F4D28" w:rsidRPr="00C1261D" w14:paraId="2D1FB045" w14:textId="77777777" w:rsidTr="009F4D28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42635FA6" w14:textId="0101601E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t xml:space="preserve">Venituri/(Pierderi) din reevaluarea valorilor mobiliare </w:t>
            </w:r>
          </w:p>
        </w:tc>
        <w:tc>
          <w:tcPr>
            <w:tcW w:w="1698" w:type="dxa"/>
            <w:gridSpan w:val="2"/>
            <w:vAlign w:val="center"/>
          </w:tcPr>
          <w:p w14:paraId="795943CF" w14:textId="6E707B51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 xml:space="preserve">46 680 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708B5A9A" w14:textId="5575525E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bCs/>
                <w:sz w:val="22"/>
                <w:szCs w:val="22"/>
              </w:rPr>
              <w:t>(46 901)</w:t>
            </w:r>
          </w:p>
        </w:tc>
      </w:tr>
      <w:tr w:rsidR="009F4D28" w:rsidRPr="00C1261D" w14:paraId="074E61F2" w14:textId="77777777" w:rsidTr="009F4D28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5A1B4184" w14:textId="6B1767D6" w:rsidR="009F4D28" w:rsidRPr="00333E9F" w:rsidRDefault="004F4C4A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>
              <w:rPr>
                <w:rFonts w:ascii="PermianSerifTypeface" w:hAnsi="PermianSerifTypeface"/>
                <w:sz w:val="22"/>
                <w:szCs w:val="22"/>
              </w:rPr>
              <w:t>Venituri/(</w:t>
            </w:r>
            <w:r w:rsidR="009F4D28" w:rsidRPr="00333E9F">
              <w:rPr>
                <w:rFonts w:ascii="PermianSerifTypeface" w:hAnsi="PermianSerifTypeface"/>
                <w:sz w:val="22"/>
                <w:szCs w:val="22"/>
              </w:rPr>
              <w:t>Cheltuieli</w:t>
            </w:r>
            <w:r>
              <w:rPr>
                <w:rFonts w:ascii="PermianSerifTypeface" w:hAnsi="PermianSerifTypeface"/>
                <w:sz w:val="22"/>
                <w:szCs w:val="22"/>
              </w:rPr>
              <w:t>)</w:t>
            </w:r>
            <w:r w:rsidR="009F4D28" w:rsidRPr="00333E9F">
              <w:rPr>
                <w:rFonts w:ascii="PermianSerifTypeface" w:hAnsi="PermianSerifTypeface"/>
                <w:sz w:val="22"/>
                <w:szCs w:val="22"/>
              </w:rPr>
              <w:t xml:space="preserve"> privind deprecierea activelor financiare</w:t>
            </w:r>
          </w:p>
        </w:tc>
        <w:tc>
          <w:tcPr>
            <w:tcW w:w="1698" w:type="dxa"/>
            <w:gridSpan w:val="2"/>
            <w:vAlign w:val="center"/>
          </w:tcPr>
          <w:p w14:paraId="62AD4D67" w14:textId="197B2950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sz w:val="22"/>
                <w:szCs w:val="22"/>
              </w:rPr>
              <w:t>6 450</w:t>
            </w: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2D7F4A33" w14:textId="59B7FE16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bCs/>
                <w:sz w:val="22"/>
                <w:szCs w:val="22"/>
              </w:rPr>
              <w:t>(3 646)</w:t>
            </w:r>
          </w:p>
        </w:tc>
      </w:tr>
      <w:tr w:rsidR="009F4D28" w:rsidRPr="00C1261D" w14:paraId="38B4B925" w14:textId="77777777" w:rsidTr="009F4D28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1F577DC5" w14:textId="069CDE93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t>Alte venituri</w:t>
            </w:r>
          </w:p>
        </w:tc>
        <w:tc>
          <w:tcPr>
            <w:tcW w:w="1698" w:type="dxa"/>
            <w:gridSpan w:val="2"/>
            <w:vAlign w:val="center"/>
          </w:tcPr>
          <w:p w14:paraId="7A80B4D9" w14:textId="42942214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sz w:val="22"/>
                <w:szCs w:val="22"/>
              </w:rPr>
              <w:t>60 554</w:t>
            </w: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36A6D135" w14:textId="231F528A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bCs/>
                <w:sz w:val="22"/>
                <w:szCs w:val="22"/>
              </w:rPr>
              <w:t>53 631</w:t>
            </w:r>
          </w:p>
        </w:tc>
      </w:tr>
      <w:tr w:rsidR="009F4D28" w:rsidRPr="00C1261D" w14:paraId="0A4BA446" w14:textId="77777777" w:rsidTr="009F4D28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5C125035" w14:textId="77777777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t>Cheltuieli cu personalul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459BE91B" w14:textId="47810D1C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>(323 711)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094A8136" w14:textId="4EB466DA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bCs/>
                <w:sz w:val="22"/>
                <w:szCs w:val="22"/>
              </w:rPr>
              <w:t>(264 073)</w:t>
            </w:r>
          </w:p>
        </w:tc>
      </w:tr>
      <w:tr w:rsidR="009F4D28" w:rsidRPr="00C1261D" w14:paraId="75AF4A78" w14:textId="77777777" w:rsidTr="009F4D28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12E9D8FD" w14:textId="77777777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t>Cheltuieli aferente producerii monedei naționale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3036274C" w14:textId="15A81921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>(27 011)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88E49BB" w14:textId="50E01699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bCs/>
                <w:sz w:val="22"/>
                <w:szCs w:val="22"/>
              </w:rPr>
              <w:t>(76 582)</w:t>
            </w:r>
          </w:p>
        </w:tc>
      </w:tr>
      <w:tr w:rsidR="009F4D28" w:rsidRPr="00C1261D" w14:paraId="29905DB9" w14:textId="77777777" w:rsidTr="009F4D28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60C8DEFE" w14:textId="77777777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t>Cheltuieli cu amortizarea imobilizărilor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151FAACA" w14:textId="50344763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sz w:val="22"/>
                <w:szCs w:val="22"/>
              </w:rPr>
              <w:t>(31 935)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AE7CC2A" w14:textId="20069B38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bCs/>
                <w:sz w:val="22"/>
                <w:szCs w:val="22"/>
              </w:rPr>
              <w:t>(25 592)</w:t>
            </w:r>
          </w:p>
        </w:tc>
      </w:tr>
      <w:tr w:rsidR="009F4D28" w:rsidRPr="00C1261D" w14:paraId="08383245" w14:textId="77777777" w:rsidTr="009F4D28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22683C6E" w14:textId="77777777" w:rsidR="009F4D28" w:rsidRPr="00333E9F" w:rsidRDefault="009F4D28" w:rsidP="009F4D28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t>Alte cheltuieli operaționale</w:t>
            </w:r>
          </w:p>
        </w:tc>
        <w:tc>
          <w:tcPr>
            <w:tcW w:w="1698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13E3009C" w14:textId="1ACD80F5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(67 379)</w:t>
            </w:r>
          </w:p>
        </w:tc>
        <w:tc>
          <w:tcPr>
            <w:tcW w:w="1725" w:type="dxa"/>
            <w:gridSpan w:val="3"/>
            <w:tcBorders>
              <w:bottom w:val="single" w:sz="8" w:space="0" w:color="808080" w:themeColor="background1" w:themeShade="80"/>
            </w:tcBorders>
            <w:noWrap/>
            <w:vAlign w:val="center"/>
          </w:tcPr>
          <w:p w14:paraId="069B2071" w14:textId="4205E81C" w:rsidR="009F4D28" w:rsidRPr="009F4D28" w:rsidRDefault="009F4D28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bCs/>
                <w:sz w:val="22"/>
                <w:szCs w:val="22"/>
              </w:rPr>
              <w:t>(53 935)</w:t>
            </w:r>
          </w:p>
        </w:tc>
      </w:tr>
      <w:tr w:rsidR="009F4D28" w:rsidRPr="00C1261D" w14:paraId="171060D8" w14:textId="77777777" w:rsidTr="009F4D28">
        <w:trPr>
          <w:gridBefore w:val="1"/>
          <w:gridAfter w:val="1"/>
          <w:wBefore w:w="108" w:type="dxa"/>
          <w:wAfter w:w="732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EED42C7" w14:textId="3974E4FD" w:rsidR="009F4D28" w:rsidRPr="00333E9F" w:rsidRDefault="009F4D28" w:rsidP="009F4D28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(PIERDERE)/PROFIT NET (Ă)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F27B199" w14:textId="18AD5F90" w:rsidR="009F4D28" w:rsidRPr="009F4D28" w:rsidRDefault="009F4D28" w:rsidP="009F4D28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(1 794 343)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50D5043C" w14:textId="445638BA" w:rsidR="009F4D28" w:rsidRPr="009F4D28" w:rsidRDefault="009F4D28" w:rsidP="009F4D28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9F4D28">
              <w:rPr>
                <w:rFonts w:ascii="PermianSerifTypeface" w:hAnsi="PermianSerifTypeface"/>
                <w:b/>
                <w:bCs/>
                <w:sz w:val="22"/>
                <w:szCs w:val="22"/>
              </w:rPr>
              <w:t>2 461 308</w:t>
            </w:r>
          </w:p>
        </w:tc>
      </w:tr>
      <w:tr w:rsidR="00333E9F" w:rsidRPr="00C1261D" w14:paraId="64BEB945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6A5FF949" w14:textId="77777777" w:rsidR="00333E9F" w:rsidRPr="00C1261D" w:rsidRDefault="00333E9F" w:rsidP="009F4D28">
            <w:pPr>
              <w:spacing w:before="220"/>
              <w:ind w:right="-120"/>
              <w:rPr>
                <w:rFonts w:ascii="PermianSerifTypeface" w:hAnsi="PermianSerifTypeface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bottom"/>
          </w:tcPr>
          <w:p w14:paraId="7EEB55E9" w14:textId="77777777" w:rsidR="00333E9F" w:rsidRPr="00C1261D" w:rsidRDefault="00333E9F" w:rsidP="009F4D28">
            <w:pPr>
              <w:contextualSpacing/>
              <w:jc w:val="right"/>
              <w:rPr>
                <w:rFonts w:ascii="PermianSerifTypeface" w:hAnsi="PermianSerifTypeface"/>
                <w:b/>
                <w:bCs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bottom"/>
          </w:tcPr>
          <w:p w14:paraId="254BB72B" w14:textId="77777777" w:rsidR="00333E9F" w:rsidRPr="00C1261D" w:rsidRDefault="00333E9F" w:rsidP="009F4D28">
            <w:pPr>
              <w:contextualSpacing/>
              <w:jc w:val="right"/>
              <w:rPr>
                <w:rFonts w:ascii="PermianSerifTypeface" w:hAnsi="PermianSerifTypeface"/>
                <w:b/>
                <w:bCs/>
              </w:rPr>
            </w:pPr>
          </w:p>
        </w:tc>
      </w:tr>
      <w:tr w:rsidR="009F4D28" w:rsidRPr="00333E9F" w14:paraId="02079929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</w:tcBorders>
            <w:noWrap/>
            <w:vAlign w:val="center"/>
          </w:tcPr>
          <w:p w14:paraId="4F9E58B6" w14:textId="77777777" w:rsidR="009F4D28" w:rsidRPr="00333E9F" w:rsidRDefault="009F4D28" w:rsidP="009F4D28">
            <w:pPr>
              <w:spacing w:before="220"/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sz w:val="22"/>
                <w:szCs w:val="22"/>
              </w:rPr>
              <w:br w:type="page"/>
            </w:r>
          </w:p>
        </w:tc>
        <w:tc>
          <w:tcPr>
            <w:tcW w:w="170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774A3C3F" w14:textId="77777777" w:rsidR="009F4D28" w:rsidRPr="00333E9F" w:rsidRDefault="009F4D28" w:rsidP="009F4D28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30 septembrie</w:t>
            </w:r>
          </w:p>
          <w:p w14:paraId="030DFCA0" w14:textId="75F6446E" w:rsidR="009F4D28" w:rsidRPr="00333E9F" w:rsidRDefault="009F4D28" w:rsidP="009F4D28">
            <w:pPr>
              <w:spacing w:before="2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bottom"/>
          </w:tcPr>
          <w:p w14:paraId="7D64E829" w14:textId="77777777" w:rsidR="009F4D28" w:rsidRPr="00333E9F" w:rsidRDefault="009F4D28" w:rsidP="009F4D28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30 septembrie</w:t>
            </w:r>
          </w:p>
          <w:p w14:paraId="2390B8A0" w14:textId="232B62AF" w:rsidR="009F4D28" w:rsidRPr="00333E9F" w:rsidRDefault="009F4D28" w:rsidP="009F4D28">
            <w:pPr>
              <w:spacing w:before="2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2024</w:t>
            </w:r>
          </w:p>
        </w:tc>
      </w:tr>
      <w:tr w:rsidR="00333E9F" w:rsidRPr="00333E9F" w14:paraId="04EA42E7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88B74DC" w14:textId="77777777" w:rsidR="00333E9F" w:rsidRPr="00333E9F" w:rsidRDefault="00333E9F" w:rsidP="009F4D28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190F1A42" w14:textId="77777777" w:rsidR="00333E9F" w:rsidRPr="00333E9F" w:rsidRDefault="00333E9F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736F039B" w14:textId="77777777" w:rsidR="00333E9F" w:rsidRPr="00333E9F" w:rsidRDefault="00333E9F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333E9F" w:rsidRPr="00333E9F" w14:paraId="17C882B2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2A15597B" w14:textId="77777777" w:rsidR="00333E9F" w:rsidRPr="00333E9F" w:rsidRDefault="00333E9F" w:rsidP="009F4D28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10169B0E" w14:textId="77777777" w:rsidR="00333E9F" w:rsidRPr="00333E9F" w:rsidRDefault="00333E9F" w:rsidP="009F4D28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4E47139E" w14:textId="77777777" w:rsidR="00333E9F" w:rsidRPr="00333E9F" w:rsidRDefault="00333E9F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333E9F" w:rsidRPr="00333E9F" w14:paraId="5EF69C3A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024AA888" w14:textId="77777777" w:rsidR="00333E9F" w:rsidRPr="00333E9F" w:rsidRDefault="00333E9F" w:rsidP="009F4D28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Alte venituri globale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05300FEC" w14:textId="77777777" w:rsidR="00333E9F" w:rsidRPr="00333E9F" w:rsidRDefault="00333E9F" w:rsidP="009F4D28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noWrap/>
            <w:vAlign w:val="center"/>
          </w:tcPr>
          <w:p w14:paraId="1FDF9227" w14:textId="77777777" w:rsidR="00333E9F" w:rsidRPr="00333E9F" w:rsidRDefault="00333E9F" w:rsidP="009F4D28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333E9F" w:rsidRPr="00333E9F" w14:paraId="488254D0" w14:textId="77777777" w:rsidTr="00380D54">
        <w:trPr>
          <w:trHeight w:val="99"/>
        </w:trPr>
        <w:tc>
          <w:tcPr>
            <w:tcW w:w="8492" w:type="dxa"/>
            <w:gridSpan w:val="6"/>
            <w:noWrap/>
            <w:vAlign w:val="center"/>
          </w:tcPr>
          <w:p w14:paraId="35D44542" w14:textId="77777777" w:rsidR="00333E9F" w:rsidRPr="00333E9F" w:rsidRDefault="00333E9F" w:rsidP="009F4D28">
            <w:pPr>
              <w:spacing w:before="60"/>
              <w:ind w:right="-300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i/>
                <w:sz w:val="22"/>
                <w:szCs w:val="22"/>
              </w:rPr>
              <w:t>Elemente care sunt sau pot fi redistribuite în profit sau pierdere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2B71D197" w14:textId="77777777" w:rsidR="00333E9F" w:rsidRPr="00333E9F" w:rsidRDefault="00333E9F" w:rsidP="009F4D28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9F4D28" w:rsidRPr="00333E9F" w14:paraId="436F9408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4AFC89ED" w14:textId="77777777" w:rsidR="009F4D28" w:rsidRPr="00333E9F" w:rsidRDefault="009F4D28" w:rsidP="009F4D28">
            <w:pPr>
              <w:spacing w:before="60"/>
              <w:ind w:right="-120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Cs/>
                <w:sz w:val="22"/>
                <w:szCs w:val="22"/>
              </w:rPr>
              <w:t>Diferențe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vAlign w:val="center"/>
          </w:tcPr>
          <w:p w14:paraId="5544252F" w14:textId="65E67416" w:rsidR="009F4D28" w:rsidRPr="00333E9F" w:rsidRDefault="009F4D28" w:rsidP="009F4D28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122 333</w:t>
            </w:r>
          </w:p>
        </w:tc>
        <w:tc>
          <w:tcPr>
            <w:tcW w:w="1719" w:type="dxa"/>
            <w:gridSpan w:val="3"/>
            <w:noWrap/>
            <w:vAlign w:val="center"/>
          </w:tcPr>
          <w:p w14:paraId="32535EFB" w14:textId="071CCAEF" w:rsidR="009F4D28" w:rsidRPr="00333E9F" w:rsidRDefault="009F4D28" w:rsidP="009F4D28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482 306</w:t>
            </w:r>
          </w:p>
        </w:tc>
      </w:tr>
      <w:tr w:rsidR="009F4D28" w:rsidRPr="00333E9F" w14:paraId="2EFBF651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2A8ED05F" w14:textId="77777777" w:rsidR="009F4D28" w:rsidRPr="00333E9F" w:rsidRDefault="009F4D28" w:rsidP="009F4D28">
            <w:pPr>
              <w:spacing w:before="60"/>
              <w:rPr>
                <w:rFonts w:ascii="PermianSerifTypeface" w:hAnsi="PermianSerifTypeface"/>
                <w:bCs/>
                <w:color w:val="FF0000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  <w:t>Diferențe de curs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3DCA1B5" w14:textId="6B80A5C7" w:rsidR="009F4D28" w:rsidRPr="00333E9F" w:rsidRDefault="009F4D28" w:rsidP="009F4D28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 w:rsidRPr="00333E9F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17 150)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02346464" w14:textId="398BE67C" w:rsidR="009F4D28" w:rsidRPr="00333E9F" w:rsidRDefault="009F4D28" w:rsidP="009F4D28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 w:rsidRPr="00307BD9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3 011</w:t>
            </w:r>
            <w:r w:rsidRPr="00307BD9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9F4D28" w:rsidRPr="00333E9F" w14:paraId="27B4D9E5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13255ECB" w14:textId="77777777" w:rsidR="009F4D28" w:rsidRPr="00333E9F" w:rsidRDefault="009F4D28" w:rsidP="009F4D28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  <w:t>Diferențe din deprecierea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1BB2424D" w14:textId="63A90896" w:rsidR="009F4D28" w:rsidRPr="00333E9F" w:rsidRDefault="009F4D28" w:rsidP="009F4D28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1 103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20A6526D" w14:textId="3142E5C2" w:rsidR="009F4D28" w:rsidRPr="00333E9F" w:rsidRDefault="009F4D28" w:rsidP="009F4D28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792</w:t>
            </w:r>
          </w:p>
        </w:tc>
      </w:tr>
      <w:tr w:rsidR="009F4D28" w:rsidRPr="00333E9F" w14:paraId="5AEDD4C9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6017E5CE" w14:textId="77777777" w:rsidR="009F4D28" w:rsidRPr="00333E9F" w:rsidRDefault="009F4D28" w:rsidP="009F4D28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REZULTAT GLOBAL AL PERIOADEI</w:t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FD7F1D8" w14:textId="616B170B" w:rsidR="009F4D28" w:rsidRPr="009F4D28" w:rsidRDefault="009F4D28" w:rsidP="009F4D28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</w:rPr>
            </w:pPr>
            <w:r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(1 688 057)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6A65B56C" w14:textId="1DECBE5C" w:rsidR="009F4D28" w:rsidRPr="00333E9F" w:rsidRDefault="009F4D28" w:rsidP="009F4D2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2 941 395</w:t>
            </w:r>
          </w:p>
        </w:tc>
      </w:tr>
      <w:tr w:rsidR="00333E9F" w:rsidRPr="00333E9F" w14:paraId="507C3AFA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1091A14" w14:textId="77777777" w:rsidR="00333E9F" w:rsidRPr="00333E9F" w:rsidRDefault="00333E9F" w:rsidP="009F4D28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053A6329" w14:textId="77777777" w:rsidR="00333E9F" w:rsidRPr="00333E9F" w:rsidRDefault="00333E9F" w:rsidP="009F4D2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BFAD2F8" w14:textId="77777777" w:rsidR="00333E9F" w:rsidRPr="00333E9F" w:rsidRDefault="00333E9F" w:rsidP="009F4D28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</w:tr>
      <w:tr w:rsidR="00333E9F" w:rsidRPr="00333E9F" w14:paraId="69963F76" w14:textId="77777777" w:rsidTr="00380D54">
        <w:trPr>
          <w:trHeight w:val="99"/>
        </w:trPr>
        <w:tc>
          <w:tcPr>
            <w:tcW w:w="10217" w:type="dxa"/>
            <w:gridSpan w:val="9"/>
            <w:tcBorders>
              <w:bottom w:val="nil"/>
            </w:tcBorders>
            <w:noWrap/>
            <w:vAlign w:val="center"/>
          </w:tcPr>
          <w:p w14:paraId="48EF5C37" w14:textId="77777777" w:rsidR="00333E9F" w:rsidRPr="00333E9F" w:rsidRDefault="00333E9F" w:rsidP="009F4D28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  <w:p w14:paraId="21B18A31" w14:textId="3D352E74" w:rsidR="00333E9F" w:rsidRPr="00333E9F" w:rsidRDefault="00333E9F" w:rsidP="009F4D28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DETERMINAREA PROFITULUI DISPONIBIL PENTRU DISTRIBUIRE</w:t>
            </w:r>
          </w:p>
          <w:p w14:paraId="330F35F8" w14:textId="77777777" w:rsidR="00333E9F" w:rsidRPr="00333E9F" w:rsidRDefault="00333E9F" w:rsidP="009F4D28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</w:tr>
      <w:tr w:rsidR="009F4D28" w:rsidRPr="00333E9F" w14:paraId="634154E1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440D7FF0" w14:textId="7AE65C4B" w:rsidR="009F4D28" w:rsidRPr="00333E9F" w:rsidRDefault="009F4D28" w:rsidP="009F4D28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(PIERDERE)/PROFIT NET (Ă)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54F1ED82" w14:textId="3A334D73" w:rsidR="009F4D28" w:rsidRPr="00333E9F" w:rsidRDefault="009F4D28" w:rsidP="009F4D28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(1 794 343)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60316D77" w14:textId="4F2A203C" w:rsidR="009F4D28" w:rsidRPr="00333E9F" w:rsidRDefault="009F4D28" w:rsidP="009F4D28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F53091">
              <w:rPr>
                <w:rFonts w:ascii="PermianSerifTypeface" w:hAnsi="PermianSerifTypeface"/>
                <w:b/>
                <w:bCs/>
                <w:sz w:val="22"/>
                <w:szCs w:val="22"/>
              </w:rPr>
              <w:t>2 461 308</w:t>
            </w:r>
          </w:p>
        </w:tc>
      </w:tr>
      <w:tr w:rsidR="009F4D28" w:rsidRPr="00333E9F" w14:paraId="154F3F7F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C623618" w14:textId="0EC2AB4C" w:rsidR="009F4D28" w:rsidRPr="00333E9F" w:rsidRDefault="009F4D28" w:rsidP="009F4D28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Cs/>
                <w:sz w:val="22"/>
                <w:szCs w:val="22"/>
              </w:rPr>
              <w:t xml:space="preserve">Acoperirea/(Defalcarea) pierderilor/(veniturilor) nerealizate din diferențe de curs de la reevaluarea stocurilor valutare 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3EC2284F" w14:textId="6E6AF66F" w:rsidR="009F4D28" w:rsidRPr="00333E9F" w:rsidRDefault="009F4D28" w:rsidP="009F4D2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sz w:val="22"/>
                <w:szCs w:val="22"/>
              </w:rPr>
              <w:t xml:space="preserve">2 753 773 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399146A0" w14:textId="54FE93DD" w:rsidR="009F4D28" w:rsidRPr="00333E9F" w:rsidRDefault="009F4D28" w:rsidP="009F4D2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268 656</w:t>
            </w: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)</w:t>
            </w:r>
          </w:p>
        </w:tc>
      </w:tr>
      <w:tr w:rsidR="009F4D28" w:rsidRPr="00333E9F" w14:paraId="7137C72C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C4396AC" w14:textId="77777777" w:rsidR="009F4D28" w:rsidRPr="00333E9F" w:rsidRDefault="009F4D28" w:rsidP="009F4D28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Cs/>
                <w:sz w:val="22"/>
                <w:szCs w:val="22"/>
              </w:rPr>
              <w:t>Defalcarea veniturilor nerealizate din diferențe de la reevaluarea metalelor prețioase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67F80C6A" w14:textId="0CD52073" w:rsidR="009F4D28" w:rsidRPr="00333E9F" w:rsidRDefault="009F4D28" w:rsidP="009F4D2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Calibri"/>
                <w:sz w:val="22"/>
                <w:szCs w:val="22"/>
              </w:rPr>
              <w:t>(34 338)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320126BC" w14:textId="2B530566" w:rsidR="009F4D28" w:rsidRPr="00333E9F" w:rsidRDefault="009F4D28" w:rsidP="009F4D28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25 310</w:t>
            </w: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) </w:t>
            </w:r>
          </w:p>
        </w:tc>
      </w:tr>
      <w:tr w:rsidR="009F4D28" w:rsidRPr="00333E9F" w14:paraId="56B77353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03E0CAC4" w14:textId="77777777" w:rsidR="009F4D28" w:rsidRPr="00333E9F" w:rsidRDefault="009F4D28" w:rsidP="009F4D28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1CF6458" w14:textId="77777777" w:rsidR="009F4D28" w:rsidRPr="00333E9F" w:rsidRDefault="009F4D28" w:rsidP="009F4D28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C496513" w14:textId="77777777" w:rsidR="009F4D28" w:rsidRPr="00333E9F" w:rsidRDefault="009F4D28" w:rsidP="009F4D28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9F4D28" w:rsidRPr="00333E9F" w14:paraId="41E97BC5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56D026DF" w14:textId="15BC0D6B" w:rsidR="009F4D28" w:rsidRPr="00333E9F" w:rsidRDefault="009F4D28" w:rsidP="009F4D28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33E9F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 DISPONIBIL PENTRU DISTRIBUIRE*</w:t>
            </w:r>
            <w:r w:rsidRPr="00333E9F">
              <w:rPr>
                <w:rStyle w:val="EndnoteReference"/>
                <w:rFonts w:ascii="PermianSerifTypeface" w:hAnsi="PermianSerifTypeface"/>
                <w:b/>
                <w:bCs/>
                <w:color w:val="FFFFFF" w:themeColor="background1"/>
                <w:sz w:val="22"/>
                <w:szCs w:val="22"/>
              </w:rPr>
              <w:endnoteReference w:id="1"/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A700C30" w14:textId="5A783FD8" w:rsidR="009F4D28" w:rsidRPr="009F4D28" w:rsidRDefault="009F4D28" w:rsidP="009F4D28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</w:rPr>
            </w:pPr>
            <w:r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925 092 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07903262" w14:textId="29484167" w:rsidR="009F4D28" w:rsidRPr="00333E9F" w:rsidRDefault="009F4D28" w:rsidP="009F4D28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2 167 342</w:t>
            </w:r>
          </w:p>
        </w:tc>
      </w:tr>
    </w:tbl>
    <w:p w14:paraId="57EAEDB8" w14:textId="77777777" w:rsidR="00C55363" w:rsidRPr="00333E9F" w:rsidRDefault="00C55363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D1A0C26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B50B871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2C08817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67CB4322" w14:textId="77777777" w:rsidR="00F214F6" w:rsidRDefault="00F214F6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A7C0178" w14:textId="77777777" w:rsidR="00F214F6" w:rsidRDefault="00F214F6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DC9B7DD" w14:textId="77777777" w:rsidR="00F214F6" w:rsidRDefault="00F214F6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30E06F5" w14:textId="77777777" w:rsidR="00F214F6" w:rsidRDefault="00F214F6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0B784E2" w14:textId="77777777" w:rsidR="00F214F6" w:rsidRDefault="00F214F6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436FEB4" w14:textId="77777777" w:rsidR="00F214F6" w:rsidRDefault="00F214F6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7D2277A3" w14:textId="77777777" w:rsidR="00F214F6" w:rsidRDefault="00F214F6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297D60E" w14:textId="2B6798C3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05C479B" w14:textId="21E51BA5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A599F52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58ACDD78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7AB935A8" w14:textId="77777777" w:rsidR="001E2FB9" w:rsidRPr="00795661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sectPr w:rsidR="001E2FB9" w:rsidRPr="00795661" w:rsidSect="005B2D4C">
      <w:headerReference w:type="default" r:id="rId9"/>
      <w:pgSz w:w="11906" w:h="16838"/>
      <w:pgMar w:top="170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C23E" w14:textId="77777777" w:rsidR="008C431D" w:rsidRDefault="008C431D" w:rsidP="00A75602">
      <w:pPr>
        <w:spacing w:after="0" w:line="240" w:lineRule="auto"/>
      </w:pPr>
      <w:r>
        <w:separator/>
      </w:r>
    </w:p>
  </w:endnote>
  <w:endnote w:type="continuationSeparator" w:id="0">
    <w:p w14:paraId="292528AE" w14:textId="77777777" w:rsidR="008C431D" w:rsidRDefault="008C431D" w:rsidP="00A75602">
      <w:pPr>
        <w:spacing w:after="0" w:line="240" w:lineRule="auto"/>
      </w:pPr>
      <w:r>
        <w:continuationSeparator/>
      </w:r>
    </w:p>
  </w:endnote>
  <w:endnote w:id="1">
    <w:p w14:paraId="353E07D0" w14:textId="72E7BA2B" w:rsidR="009F4D28" w:rsidRPr="008851E8" w:rsidRDefault="009F4D28" w:rsidP="00BB29AE">
      <w:pPr>
        <w:pStyle w:val="Header"/>
        <w:rPr>
          <w:rFonts w:ascii="PermianSerifTypeface" w:hAnsi="PermianSerifTypeface"/>
          <w:i/>
          <w:iCs/>
          <w:sz w:val="18"/>
          <w:szCs w:val="18"/>
        </w:rPr>
      </w:pPr>
      <w:bookmarkStart w:id="0" w:name="_Hlk184306879"/>
      <w:r w:rsidRPr="008851E8">
        <w:rPr>
          <w:rStyle w:val="EndnoteReference"/>
          <w:rFonts w:ascii="PermianSerifTypeface" w:hAnsi="PermianSerifTypeface"/>
          <w:i/>
          <w:iCs/>
          <w:color w:val="FFFFFF" w:themeColor="background1"/>
          <w:sz w:val="18"/>
          <w:szCs w:val="18"/>
        </w:rPr>
        <w:endnoteRef/>
      </w:r>
      <w:r w:rsidRPr="008851E8">
        <w:rPr>
          <w:rFonts w:ascii="PermianSerifTypeface" w:hAnsi="PermianSerifTypeface"/>
          <w:i/>
          <w:iCs/>
          <w:color w:val="FFFFFF" w:themeColor="background1"/>
          <w:sz w:val="18"/>
          <w:szCs w:val="18"/>
        </w:rPr>
        <w:t xml:space="preserve">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*În conformitate cu art. 20 din Legea cu privire la Banca Națională a Moldovei nr. 548/1995 profitul disponibil pentru distribuire se determină și se înregistrează la sfârșitul exercițiului financiar, prin urmare profitul disponibil pentru distribuire în situațiile financiare interimare 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este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furnizat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doar în scop informativ.</w:t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CC"/>
    <w:family w:val="auto"/>
    <w:pitch w:val="variable"/>
    <w:sig w:usb0="A00002AF" w:usb1="4000A47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F182" w14:textId="77777777" w:rsidR="008C431D" w:rsidRDefault="008C431D" w:rsidP="00A75602">
      <w:pPr>
        <w:spacing w:after="0" w:line="240" w:lineRule="auto"/>
      </w:pPr>
      <w:r>
        <w:separator/>
      </w:r>
    </w:p>
  </w:footnote>
  <w:footnote w:type="continuationSeparator" w:id="0">
    <w:p w14:paraId="2B49167C" w14:textId="77777777" w:rsidR="008C431D" w:rsidRDefault="008C431D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91E4B" w14:textId="31572767" w:rsidR="00523554" w:rsidRDefault="00165401" w:rsidP="00523554">
    <w:pPr>
      <w:pStyle w:val="Header"/>
      <w:ind w:left="709"/>
    </w:pPr>
    <w:r>
      <w:rPr>
        <w:noProof/>
        <w:lang w:val="en-US"/>
      </w:rPr>
      <w:drawing>
        <wp:inline distT="0" distB="0" distL="0" distR="0" wp14:anchorId="778F58D5" wp14:editId="514FC8FB">
          <wp:extent cx="1469527" cy="431596"/>
          <wp:effectExtent l="0" t="0" r="0" b="6985"/>
          <wp:docPr id="5" name="Picture 5" descr="A black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ack and white logo  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49211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47FC"/>
    <w:rsid w:val="00007216"/>
    <w:rsid w:val="00044A74"/>
    <w:rsid w:val="00076A70"/>
    <w:rsid w:val="000D2E3D"/>
    <w:rsid w:val="00110B13"/>
    <w:rsid w:val="00120860"/>
    <w:rsid w:val="001608C6"/>
    <w:rsid w:val="00165401"/>
    <w:rsid w:val="0016754A"/>
    <w:rsid w:val="00186F7A"/>
    <w:rsid w:val="001A0647"/>
    <w:rsid w:val="001E2FB9"/>
    <w:rsid w:val="001F0F8E"/>
    <w:rsid w:val="0020756A"/>
    <w:rsid w:val="0020757F"/>
    <w:rsid w:val="0022150A"/>
    <w:rsid w:val="00237D20"/>
    <w:rsid w:val="0024004F"/>
    <w:rsid w:val="00242823"/>
    <w:rsid w:val="00242AF2"/>
    <w:rsid w:val="00262D70"/>
    <w:rsid w:val="00282733"/>
    <w:rsid w:val="00287D3E"/>
    <w:rsid w:val="002C3047"/>
    <w:rsid w:val="002C6E6B"/>
    <w:rsid w:val="002F7AF4"/>
    <w:rsid w:val="00333E9F"/>
    <w:rsid w:val="003354BC"/>
    <w:rsid w:val="00344677"/>
    <w:rsid w:val="00356CB3"/>
    <w:rsid w:val="00372921"/>
    <w:rsid w:val="00387D1C"/>
    <w:rsid w:val="003C3F85"/>
    <w:rsid w:val="003F3E6A"/>
    <w:rsid w:val="004032F6"/>
    <w:rsid w:val="00407039"/>
    <w:rsid w:val="00433FEB"/>
    <w:rsid w:val="00444F73"/>
    <w:rsid w:val="00445D7A"/>
    <w:rsid w:val="0046214E"/>
    <w:rsid w:val="00482C44"/>
    <w:rsid w:val="0048691E"/>
    <w:rsid w:val="004A3640"/>
    <w:rsid w:val="004A4B2E"/>
    <w:rsid w:val="004B5663"/>
    <w:rsid w:val="004C1281"/>
    <w:rsid w:val="004D26B6"/>
    <w:rsid w:val="004F0B46"/>
    <w:rsid w:val="004F4C4A"/>
    <w:rsid w:val="00523554"/>
    <w:rsid w:val="00556D46"/>
    <w:rsid w:val="005714CB"/>
    <w:rsid w:val="00580BA8"/>
    <w:rsid w:val="005B2D4C"/>
    <w:rsid w:val="005D1994"/>
    <w:rsid w:val="005F4718"/>
    <w:rsid w:val="005F6405"/>
    <w:rsid w:val="006402E5"/>
    <w:rsid w:val="006510BD"/>
    <w:rsid w:val="00673758"/>
    <w:rsid w:val="00681CD2"/>
    <w:rsid w:val="006A0F56"/>
    <w:rsid w:val="006B30D5"/>
    <w:rsid w:val="006B392D"/>
    <w:rsid w:val="006C5BC2"/>
    <w:rsid w:val="00710C4E"/>
    <w:rsid w:val="0071680A"/>
    <w:rsid w:val="007332C7"/>
    <w:rsid w:val="00745881"/>
    <w:rsid w:val="0075435B"/>
    <w:rsid w:val="00786B52"/>
    <w:rsid w:val="00795661"/>
    <w:rsid w:val="007A56F6"/>
    <w:rsid w:val="007B1108"/>
    <w:rsid w:val="007B3650"/>
    <w:rsid w:val="007F0A91"/>
    <w:rsid w:val="007F17BD"/>
    <w:rsid w:val="0082438F"/>
    <w:rsid w:val="00863F09"/>
    <w:rsid w:val="00877168"/>
    <w:rsid w:val="008851E8"/>
    <w:rsid w:val="008C431D"/>
    <w:rsid w:val="008D6253"/>
    <w:rsid w:val="008E11B5"/>
    <w:rsid w:val="008E27E2"/>
    <w:rsid w:val="008F0F5F"/>
    <w:rsid w:val="009061AD"/>
    <w:rsid w:val="009369E0"/>
    <w:rsid w:val="00947684"/>
    <w:rsid w:val="009A296D"/>
    <w:rsid w:val="009C3A21"/>
    <w:rsid w:val="009F4D28"/>
    <w:rsid w:val="009F70CA"/>
    <w:rsid w:val="00A07A6F"/>
    <w:rsid w:val="00A743E9"/>
    <w:rsid w:val="00A75602"/>
    <w:rsid w:val="00AB3FBB"/>
    <w:rsid w:val="00AE44CE"/>
    <w:rsid w:val="00AF1B52"/>
    <w:rsid w:val="00AF4D97"/>
    <w:rsid w:val="00B51CD4"/>
    <w:rsid w:val="00B612CE"/>
    <w:rsid w:val="00B74D0D"/>
    <w:rsid w:val="00BA582E"/>
    <w:rsid w:val="00BB027C"/>
    <w:rsid w:val="00BB29AE"/>
    <w:rsid w:val="00BC5970"/>
    <w:rsid w:val="00BD417C"/>
    <w:rsid w:val="00BD5AE8"/>
    <w:rsid w:val="00BF07F5"/>
    <w:rsid w:val="00BF38D8"/>
    <w:rsid w:val="00C06FA5"/>
    <w:rsid w:val="00C551A6"/>
    <w:rsid w:val="00C55363"/>
    <w:rsid w:val="00C729BC"/>
    <w:rsid w:val="00C775B6"/>
    <w:rsid w:val="00CA3AE8"/>
    <w:rsid w:val="00CC0FE7"/>
    <w:rsid w:val="00CC3788"/>
    <w:rsid w:val="00CE2313"/>
    <w:rsid w:val="00D3059E"/>
    <w:rsid w:val="00D409DD"/>
    <w:rsid w:val="00D7414C"/>
    <w:rsid w:val="00D74695"/>
    <w:rsid w:val="00D76117"/>
    <w:rsid w:val="00DA4BF4"/>
    <w:rsid w:val="00DC21D0"/>
    <w:rsid w:val="00DE7C44"/>
    <w:rsid w:val="00DF2AC2"/>
    <w:rsid w:val="00E270C0"/>
    <w:rsid w:val="00E35250"/>
    <w:rsid w:val="00E377EC"/>
    <w:rsid w:val="00E42E2F"/>
    <w:rsid w:val="00E73BD7"/>
    <w:rsid w:val="00E95C86"/>
    <w:rsid w:val="00EB0E0F"/>
    <w:rsid w:val="00EB230C"/>
    <w:rsid w:val="00EB48FA"/>
    <w:rsid w:val="00EC3857"/>
    <w:rsid w:val="00EC4BE9"/>
    <w:rsid w:val="00EC666F"/>
    <w:rsid w:val="00EE7DB8"/>
    <w:rsid w:val="00F20A32"/>
    <w:rsid w:val="00F214F6"/>
    <w:rsid w:val="00F2474C"/>
    <w:rsid w:val="00F33CF6"/>
    <w:rsid w:val="00F407D0"/>
    <w:rsid w:val="00F512C5"/>
    <w:rsid w:val="00F80899"/>
    <w:rsid w:val="00FB21AC"/>
    <w:rsid w:val="00FC7D1D"/>
    <w:rsid w:val="00FD6CA8"/>
    <w:rsid w:val="00FE2EC2"/>
    <w:rsid w:val="00FE5C0B"/>
    <w:rsid w:val="00FE6589"/>
    <w:rsid w:val="00FF1073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8DD723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Revision">
    <w:name w:val="Revision"/>
    <w:hidden/>
    <w:uiPriority w:val="99"/>
    <w:semiHidden/>
    <w:rsid w:val="00445D7A"/>
    <w:pPr>
      <w:spacing w:after="0" w:line="240" w:lineRule="auto"/>
    </w:pPr>
  </w:style>
  <w:style w:type="table" w:styleId="TableGrid">
    <w:name w:val="Table Grid"/>
    <w:basedOn w:val="TableNormal"/>
    <w:uiPriority w:val="59"/>
    <w:rsid w:val="00C5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c69c0b0a-d01b-421d-8b6e-fa7f197e0f19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1D298-CD77-4F90-A7FA-55D6CCE62FA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6D5A1D62-5529-47DB-87A8-E4E3598F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441</Words>
  <Characters>2393</Characters>
  <Application>Microsoft Office Word</Application>
  <DocSecurity>0</DocSecurity>
  <Lines>194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2023-10-02T09:07:00Z</dcterms:created>
  <cp:lastPrinted>2025-12-22T19:30:00Z</cp:lastPrinted>
  <dcterms:modified xsi:type="dcterms:W3CDTF">2025-12-30T14:00:00Z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c69c0b0a-d01b-421d-8b6e-fa7f197e0f19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2024-12-06T07:27:56Z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7185d954-00cf-4de0-a844-a43c7adc2869</vt:lpwstr>
  </property>
  <property fmtid="{D5CDD505-2E9C-101B-9397-08002B2CF9AE}" pid="10" name="MSIP_Label_38962dcf-d39f-4edc-a396-338a56ba9170_ContentBits">
    <vt:lpwstr>0</vt:lpwstr>
  </property>
</Properties>
</file>