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2723D" w14:textId="77777777" w:rsidR="00D3059E" w:rsidRPr="000771E6" w:rsidRDefault="00D3059E" w:rsidP="00036BBD">
      <w:pPr>
        <w:spacing w:after="0"/>
        <w:rPr>
          <w:sz w:val="2"/>
          <w:szCs w:val="2"/>
          <w:lang w:val="ro-MD"/>
        </w:rPr>
      </w:pPr>
    </w:p>
    <w:tbl>
      <w:tblPr>
        <w:tblpPr w:leftFromText="180" w:rightFromText="180" w:vertAnchor="page" w:horzAnchor="margin" w:tblpX="-459" w:tblpY="1793"/>
        <w:tblW w:w="10456" w:type="dxa"/>
        <w:tblLook w:val="0000" w:firstRow="0" w:lastRow="0" w:firstColumn="0" w:lastColumn="0" w:noHBand="0" w:noVBand="0"/>
      </w:tblPr>
      <w:tblGrid>
        <w:gridCol w:w="10456"/>
      </w:tblGrid>
      <w:tr w:rsidR="008838C8" w:rsidRPr="000771E6" w14:paraId="063C6737" w14:textId="77777777" w:rsidTr="00040595">
        <w:trPr>
          <w:trHeight w:val="43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E311" w14:textId="77777777" w:rsidR="008838C8" w:rsidRPr="00040595" w:rsidRDefault="008838C8" w:rsidP="008838C8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КОНСОЛИДИРОВАННОЕ И ОТДЕЛЬНOЕ СОСТОЯНИЕ </w:t>
            </w:r>
          </w:p>
          <w:p w14:paraId="38894C2F" w14:textId="12333F7A" w:rsidR="008838C8" w:rsidRPr="00040595" w:rsidRDefault="008838C8" w:rsidP="008838C8">
            <w:pPr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О СОВОКУПНОМ ДОХОДЕ  </w:t>
            </w:r>
          </w:p>
        </w:tc>
      </w:tr>
      <w:tr w:rsidR="008838C8" w:rsidRPr="000771E6" w14:paraId="66C0A61A" w14:textId="77777777" w:rsidTr="00F25274">
        <w:trPr>
          <w:trHeight w:val="360"/>
        </w:trPr>
        <w:tc>
          <w:tcPr>
            <w:tcW w:w="10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D0D124" w14:textId="77777777" w:rsidR="008838C8" w:rsidRPr="00040595" w:rsidRDefault="008838C8" w:rsidP="008838C8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аудированное</w:t>
            </w:r>
            <w:proofErr w:type="spellEnd"/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)</w:t>
            </w:r>
          </w:p>
          <w:p w14:paraId="56506F0A" w14:textId="5E410DC4" w:rsidR="008838C8" w:rsidRPr="00040595" w:rsidRDefault="00D3775D" w:rsidP="008838C8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</w:pPr>
            <w:r w:rsidRPr="00D3775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За финансовый год,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закончившийся 31 декабря 2022</w:t>
            </w:r>
          </w:p>
        </w:tc>
      </w:tr>
    </w:tbl>
    <w:p w14:paraId="3057242C" w14:textId="77777777" w:rsidR="001F4815" w:rsidRPr="000C0CCC" w:rsidRDefault="001F4815" w:rsidP="001F4815">
      <w:pPr>
        <w:rPr>
          <w:sz w:val="12"/>
          <w:szCs w:val="12"/>
          <w:lang w:val="ru-RU"/>
        </w:rPr>
        <w:sectPr w:rsidR="001F4815" w:rsidRPr="000C0CCC" w:rsidSect="00141F7F">
          <w:headerReference w:type="default" r:id="rId9"/>
          <w:pgSz w:w="11906" w:h="16838"/>
          <w:pgMar w:top="993" w:right="851" w:bottom="851" w:left="1701" w:header="284" w:footer="720" w:gutter="0"/>
          <w:cols w:space="720"/>
          <w:docGrid w:linePitch="360"/>
        </w:sectPr>
      </w:pPr>
    </w:p>
    <w:p w14:paraId="2E99144D" w14:textId="791007CE" w:rsidR="00040595" w:rsidRDefault="00040595" w:rsidP="001F4815">
      <w:pPr>
        <w:rPr>
          <w:lang w:val="ru-RU"/>
        </w:rPr>
      </w:pPr>
    </w:p>
    <w:p w14:paraId="77086624" w14:textId="77777777" w:rsidR="00040595" w:rsidRPr="00040595" w:rsidRDefault="00040595" w:rsidP="001F4815">
      <w:pPr>
        <w:rPr>
          <w:sz w:val="6"/>
          <w:szCs w:val="6"/>
          <w:lang w:val="ru-RU"/>
        </w:rPr>
      </w:pPr>
    </w:p>
    <w:tbl>
      <w:tblPr>
        <w:tblpPr w:leftFromText="180" w:rightFromText="180" w:vertAnchor="text" w:horzAnchor="margin" w:tblpX="-1234" w:tblpY="99"/>
        <w:tblW w:w="11382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198"/>
        <w:gridCol w:w="1418"/>
        <w:gridCol w:w="1276"/>
        <w:gridCol w:w="236"/>
        <w:gridCol w:w="1035"/>
        <w:gridCol w:w="1127"/>
        <w:gridCol w:w="92"/>
      </w:tblGrid>
      <w:tr w:rsidR="0060438C" w:rsidRPr="00040595" w14:paraId="133C719A" w14:textId="77777777" w:rsidTr="00ED363B">
        <w:trPr>
          <w:trHeight w:val="57"/>
        </w:trPr>
        <w:tc>
          <w:tcPr>
            <w:tcW w:w="619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93E4A1D" w14:textId="7182528B" w:rsidR="0060438C" w:rsidRPr="00040595" w:rsidRDefault="0060438C" w:rsidP="00EE12DA">
            <w:pPr>
              <w:spacing w:after="0" w:line="240" w:lineRule="auto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br w:type="page"/>
            </w:r>
          </w:p>
        </w:tc>
        <w:tc>
          <w:tcPr>
            <w:tcW w:w="2694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D1426BA" w14:textId="3C18A801" w:rsidR="0060438C" w:rsidRPr="00040595" w:rsidRDefault="0060438C" w:rsidP="00EE12DA">
            <w:pPr>
              <w:spacing w:after="0" w:line="240" w:lineRule="auto"/>
              <w:ind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КОНСОЛИДИРОВАННЫЙ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65AE45FA" w14:textId="361715CA" w:rsidR="0060438C" w:rsidRPr="00040595" w:rsidRDefault="0060438C" w:rsidP="00EE12DA">
            <w:pPr>
              <w:spacing w:after="0" w:line="240" w:lineRule="auto"/>
              <w:ind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2254" w:type="dxa"/>
            <w:gridSpan w:val="3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E461FBC" w14:textId="793D72F1" w:rsidR="0060438C" w:rsidRPr="00040595" w:rsidRDefault="0060438C" w:rsidP="00EE12DA">
            <w:pPr>
              <w:spacing w:after="0" w:line="240" w:lineRule="auto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БАНК</w:t>
            </w:r>
          </w:p>
        </w:tc>
      </w:tr>
      <w:tr w:rsidR="0060438C" w:rsidRPr="00040595" w14:paraId="05197CE9" w14:textId="77777777" w:rsidTr="00ED363B">
        <w:trPr>
          <w:gridAfter w:val="1"/>
          <w:wAfter w:w="92" w:type="dxa"/>
          <w:trHeight w:hRule="exact" w:val="284"/>
        </w:trPr>
        <w:tc>
          <w:tcPr>
            <w:tcW w:w="619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DECFA1" w14:textId="5022DDC4" w:rsidR="0060438C" w:rsidRPr="00040595" w:rsidRDefault="008838C8" w:rsidP="00EE12DA">
            <w:pPr>
              <w:spacing w:after="24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На 31 декабря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ED00D2F" w14:textId="77777777" w:rsidR="0060438C" w:rsidRPr="00040595" w:rsidRDefault="0060438C" w:rsidP="00EE12DA">
            <w:pPr>
              <w:spacing w:after="240" w:line="240" w:lineRule="auto"/>
              <w:ind w:left="40"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CDA5DC3" w14:textId="77777777" w:rsidR="0060438C" w:rsidRPr="00040595" w:rsidRDefault="0060438C" w:rsidP="00EE12DA">
            <w:pPr>
              <w:spacing w:after="240" w:line="240" w:lineRule="auto"/>
              <w:ind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698AC" w14:textId="23653621" w:rsidR="0060438C" w:rsidRPr="00040595" w:rsidRDefault="0060438C" w:rsidP="00EE12DA">
            <w:pPr>
              <w:spacing w:after="240" w:line="240" w:lineRule="auto"/>
              <w:ind w:right="32" w:hanging="105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9015741" w14:textId="77777777" w:rsidR="0060438C" w:rsidRPr="00040595" w:rsidRDefault="0060438C" w:rsidP="00EE12DA">
            <w:pPr>
              <w:spacing w:after="240" w:line="240" w:lineRule="auto"/>
              <w:ind w:right="32" w:hanging="201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2022</w:t>
            </w:r>
          </w:p>
        </w:tc>
        <w:tc>
          <w:tcPr>
            <w:tcW w:w="112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37D32FA" w14:textId="77777777" w:rsidR="0060438C" w:rsidRPr="00040595" w:rsidRDefault="0060438C" w:rsidP="00EE12DA">
            <w:pPr>
              <w:spacing w:after="240" w:line="240" w:lineRule="auto"/>
              <w:ind w:hanging="101"/>
              <w:contextualSpacing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2021</w:t>
            </w:r>
          </w:p>
        </w:tc>
      </w:tr>
      <w:tr w:rsidR="0060438C" w:rsidRPr="00040595" w14:paraId="5337A7F6" w14:textId="77777777" w:rsidTr="00ED363B">
        <w:trPr>
          <w:gridAfter w:val="1"/>
          <w:wAfter w:w="92" w:type="dxa"/>
          <w:trHeight w:val="57"/>
        </w:trPr>
        <w:tc>
          <w:tcPr>
            <w:tcW w:w="61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D9B330" w14:textId="77777777" w:rsidR="0060438C" w:rsidRPr="00040595" w:rsidRDefault="0060438C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3BC0949" w14:textId="0EB5682E" w:rsidR="0060438C" w:rsidRPr="00040595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1276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779FF6" w14:textId="77777777" w:rsidR="0060438C" w:rsidRPr="00040595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BD0EFC" w14:textId="5B444E2B" w:rsidR="0060438C" w:rsidRPr="00040595" w:rsidRDefault="0060438C" w:rsidP="00EE12DA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FE076A8" w14:textId="436DA6EA" w:rsidR="0060438C" w:rsidRPr="00040595" w:rsidRDefault="0060438C" w:rsidP="00EE12DA">
            <w:pPr>
              <w:spacing w:after="0" w:line="240" w:lineRule="auto"/>
              <w:ind w:hanging="201"/>
              <w:jc w:val="center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1127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134D762" w14:textId="580AA216" w:rsidR="0060438C" w:rsidRPr="00040595" w:rsidRDefault="0060438C" w:rsidP="00EE12DA">
            <w:pPr>
              <w:spacing w:after="0" w:line="240" w:lineRule="auto"/>
              <w:ind w:hanging="101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</w:tr>
      <w:tr w:rsidR="00141F7F" w:rsidRPr="000771E6" w14:paraId="72A0490F" w14:textId="77777777" w:rsidTr="00ED363B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9336EA6" w14:textId="570EBAFE" w:rsidR="00750E7B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288775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EE17356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bottom"/>
          </w:tcPr>
          <w:p w14:paraId="0A12904C" w14:textId="77777777" w:rsidR="00750E7B" w:rsidRPr="00040595" w:rsidRDefault="00750E7B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05367639" w14:textId="77777777" w:rsidR="00750E7B" w:rsidRPr="00040595" w:rsidRDefault="00750E7B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15622E8B" w14:textId="77777777" w:rsidR="00750E7B" w:rsidRPr="00040595" w:rsidRDefault="00750E7B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</w:tr>
      <w:tr w:rsidR="00141F7F" w:rsidRPr="00040595" w14:paraId="7C73826D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0A1FB7FE" w14:textId="0BACB085" w:rsidR="00750E7B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14:paraId="7DE24258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375 587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6C181736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19 328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33F6C86" w14:textId="77777777" w:rsidR="00750E7B" w:rsidRPr="00040595" w:rsidRDefault="00750E7B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63333EE6" w14:textId="77777777" w:rsidR="00750E7B" w:rsidRPr="00040595" w:rsidRDefault="00750E7B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375 587 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000DEE3" w14:textId="77777777" w:rsidR="00750E7B" w:rsidRPr="00040595" w:rsidRDefault="00750E7B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19 328</w:t>
            </w:r>
          </w:p>
        </w:tc>
      </w:tr>
      <w:tr w:rsidR="00141F7F" w:rsidRPr="00040595" w14:paraId="54C030DF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65F993D" w14:textId="47F8D8D4" w:rsidR="00750E7B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Процентные доходы по ценным бумагам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C86ACED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545 090 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5A4CBFF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155 351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E32F5E9" w14:textId="77777777" w:rsidR="00750E7B" w:rsidRPr="00040595" w:rsidRDefault="00750E7B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410EAA7" w14:textId="77777777" w:rsidR="00750E7B" w:rsidRPr="00040595" w:rsidRDefault="00750E7B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545 090 </w:t>
            </w:r>
          </w:p>
        </w:tc>
        <w:tc>
          <w:tcPr>
            <w:tcW w:w="1127" w:type="dxa"/>
            <w:tcBorders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1806B7A7" w14:textId="77777777" w:rsidR="00750E7B" w:rsidRPr="00040595" w:rsidRDefault="00750E7B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155 351</w:t>
            </w:r>
          </w:p>
        </w:tc>
      </w:tr>
      <w:tr w:rsidR="00141F7F" w:rsidRPr="00040595" w14:paraId="43AA479B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6C1FC57C" w14:textId="77777777" w:rsidR="00173347" w:rsidRPr="00040595" w:rsidRDefault="00173347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19E80429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920 677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74F451C3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174 679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BF1A0DF" w14:textId="77777777" w:rsidR="00173347" w:rsidRPr="00040595" w:rsidRDefault="00173347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FB56EBD" w14:textId="77777777" w:rsidR="00173347" w:rsidRPr="00040595" w:rsidRDefault="00173347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920 677</w:t>
            </w:r>
          </w:p>
        </w:tc>
        <w:tc>
          <w:tcPr>
            <w:tcW w:w="1127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4E663FCC" w14:textId="77777777" w:rsidR="00173347" w:rsidRPr="00040595" w:rsidRDefault="00173347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174 679</w:t>
            </w:r>
          </w:p>
        </w:tc>
      </w:tr>
      <w:tr w:rsidR="00141F7F" w:rsidRPr="000771E6" w14:paraId="2469291E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689DE9F" w14:textId="48212CF4" w:rsidR="00173347" w:rsidRPr="00040595" w:rsidRDefault="00040595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14:paraId="222E6762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6940EA8C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7A72F5CA" w14:textId="77777777" w:rsidR="00173347" w:rsidRPr="00040595" w:rsidRDefault="00173347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C4D08" w14:textId="77777777" w:rsidR="00173347" w:rsidRPr="00040595" w:rsidRDefault="00173347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33EF1E" w14:textId="77777777" w:rsidR="00173347" w:rsidRPr="00040595" w:rsidRDefault="00173347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</w:tr>
      <w:tr w:rsidR="00141F7F" w:rsidRPr="00040595" w14:paraId="38AD2157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15B27DB" w14:textId="0F2FAE2F" w:rsidR="00750E7B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 xml:space="preserve">Процентные доходы по выданным кредитам и </w:t>
            </w:r>
            <w:proofErr w:type="spellStart"/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репо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14:paraId="5114F318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274 580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2BBEC759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2 700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50F25CD3" w14:textId="77777777" w:rsidR="00750E7B" w:rsidRPr="00040595" w:rsidRDefault="00750E7B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7CDFED08" w14:textId="77777777" w:rsidR="00750E7B" w:rsidRPr="00040595" w:rsidRDefault="00750E7B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273 485 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59538B4" w14:textId="77777777" w:rsidR="00750E7B" w:rsidRPr="00040595" w:rsidRDefault="00750E7B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2 700</w:t>
            </w:r>
          </w:p>
        </w:tc>
      </w:tr>
      <w:tr w:rsidR="00141F7F" w:rsidRPr="00040595" w14:paraId="3B2D2E4A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64E4D92D" w14:textId="50B27F0B" w:rsidR="00750E7B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Процентные доходы по ценным бумагам</w:t>
            </w: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14:paraId="3A6C73A2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835 509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6D9CD0FC" w14:textId="77777777" w:rsidR="00750E7B" w:rsidRPr="00040595" w:rsidRDefault="00750E7B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731 764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40A4A29" w14:textId="77777777" w:rsidR="00750E7B" w:rsidRPr="00040595" w:rsidRDefault="00750E7B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09CBCF0E" w14:textId="77777777" w:rsidR="00750E7B" w:rsidRPr="00040595" w:rsidRDefault="00750E7B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832 356 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AD2FC7D" w14:textId="77777777" w:rsidR="00750E7B" w:rsidRPr="00040595" w:rsidRDefault="00750E7B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  <w:t>730 479</w:t>
            </w:r>
          </w:p>
        </w:tc>
      </w:tr>
      <w:tr w:rsidR="00141F7F" w:rsidRPr="00040595" w14:paraId="01A2F06F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4F558F7E" w14:textId="5548E514" w:rsidR="00173347" w:rsidRPr="00040595" w:rsidRDefault="00750E7B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Процентные доходы по прочим</w:t>
            </w:r>
            <w:r w:rsidRPr="00040595">
              <w:rPr>
                <w:sz w:val="19"/>
                <w:szCs w:val="19"/>
                <w:lang w:val="ru-RU"/>
              </w:rPr>
              <w:t xml:space="preserve"> </w:t>
            </w: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свободным денежным средствам</w:t>
            </w:r>
          </w:p>
        </w:tc>
        <w:tc>
          <w:tcPr>
            <w:tcW w:w="1418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206EC0F9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1276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53EDCF05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2BE65B" w14:textId="77777777" w:rsidR="00173347" w:rsidRPr="00040595" w:rsidRDefault="00173347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60310E58" w14:textId="77777777" w:rsidR="00173347" w:rsidRPr="00040595" w:rsidRDefault="00173347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-</w:t>
            </w:r>
          </w:p>
        </w:tc>
        <w:tc>
          <w:tcPr>
            <w:tcW w:w="1127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55002547" w14:textId="77777777" w:rsidR="00173347" w:rsidRPr="00040595" w:rsidRDefault="00173347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-</w:t>
            </w:r>
          </w:p>
        </w:tc>
      </w:tr>
      <w:tr w:rsidR="00141F7F" w:rsidRPr="00040595" w14:paraId="09D6FC83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62EE8B6B" w14:textId="77777777" w:rsidR="00173347" w:rsidRPr="00040595" w:rsidRDefault="00173347" w:rsidP="00EE12D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4677171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1 110 096 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3F780518" w14:textId="77777777" w:rsidR="00173347" w:rsidRPr="00040595" w:rsidRDefault="00173347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734 464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684C19" w14:textId="77777777" w:rsidR="00173347" w:rsidRPr="00040595" w:rsidRDefault="00173347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E3C47E2" w14:textId="77777777" w:rsidR="00173347" w:rsidRPr="00040595" w:rsidRDefault="00173347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1 105 841 </w:t>
            </w:r>
          </w:p>
        </w:tc>
        <w:tc>
          <w:tcPr>
            <w:tcW w:w="112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399E52B0" w14:textId="77777777" w:rsidR="00173347" w:rsidRPr="00040595" w:rsidRDefault="00173347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733 179</w:t>
            </w:r>
          </w:p>
        </w:tc>
      </w:tr>
      <w:tr w:rsidR="00141F7F" w:rsidRPr="00040595" w14:paraId="544D6030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7A1E783" w14:textId="477723AB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393B4FBA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2 030 773 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336E62D2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909 143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D1DA5F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9B33E50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2 026 518 </w:t>
            </w:r>
          </w:p>
        </w:tc>
        <w:tc>
          <w:tcPr>
            <w:tcW w:w="112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3C6A47B3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907 858</w:t>
            </w:r>
          </w:p>
        </w:tc>
      </w:tr>
      <w:tr w:rsidR="00141F7F" w:rsidRPr="00040595" w14:paraId="01EF10EC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376FFA30" w14:textId="7777777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DDDDABA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31D02DD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B03A457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45C45F18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980EC1F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</w:tr>
      <w:tr w:rsidR="00141F7F" w:rsidRPr="000771E6" w14:paraId="5A7C7101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4B68CEED" w14:textId="6F5E6B4D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D745DA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39F67F3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563D87A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22749C42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E9B64F1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</w:tr>
      <w:tr w:rsidR="00141F7F" w:rsidRPr="00040595" w14:paraId="5FC4E3F1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3080C27" w14:textId="0FD794E9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14:paraId="16C71760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(2 370 648)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6ED8843B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(216 324)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355BAC8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0AEB3B23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(2 370 648)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D487531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(216 324)</w:t>
            </w:r>
          </w:p>
        </w:tc>
      </w:tr>
      <w:tr w:rsidR="00141F7F" w:rsidRPr="00040595" w14:paraId="6792A86A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F697A3B" w14:textId="14C5C97E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 xml:space="preserve">Процентные расходы по операциям с ценными бумагами и </w:t>
            </w:r>
            <w:proofErr w:type="spellStart"/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репо</w:t>
            </w:r>
            <w:proofErr w:type="spellEnd"/>
          </w:p>
        </w:tc>
        <w:tc>
          <w:tcPr>
            <w:tcW w:w="1418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C82EF91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(412 892)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62D681D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(149 487)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7000398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69696A4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(415 492)</w:t>
            </w:r>
          </w:p>
        </w:tc>
        <w:tc>
          <w:tcPr>
            <w:tcW w:w="1127" w:type="dxa"/>
            <w:tcBorders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7A1DE2CC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(152 087)</w:t>
            </w:r>
          </w:p>
        </w:tc>
      </w:tr>
      <w:tr w:rsidR="00141F7F" w:rsidRPr="00040595" w14:paraId="4946C70D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0053D18A" w14:textId="7777777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A9A453F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(2 783 540)</w:t>
            </w: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7B5F3882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(365 811)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F07CB6A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39136279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(2 786 140)</w:t>
            </w:r>
          </w:p>
        </w:tc>
        <w:tc>
          <w:tcPr>
            <w:tcW w:w="1127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37B581F1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color w:val="000000"/>
                <w:sz w:val="19"/>
                <w:szCs w:val="19"/>
                <w:lang w:val="ru-RU"/>
              </w:rPr>
              <w:t>(368 411)</w:t>
            </w:r>
          </w:p>
        </w:tc>
      </w:tr>
      <w:tr w:rsidR="00141F7F" w:rsidRPr="000771E6" w14:paraId="3D64394C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3B4F2905" w14:textId="75F8C331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Процентные расходы в иностранной валюте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</w:tcPr>
          <w:p w14:paraId="66E582D9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</w:tcPr>
          <w:p w14:paraId="0DD9BD77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54630A7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20C5803D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3D56A84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</w:p>
        </w:tc>
      </w:tr>
      <w:tr w:rsidR="00141F7F" w:rsidRPr="00040595" w14:paraId="35D272C5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48F6EF4D" w14:textId="3898AFD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473CE2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(26 142)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F770C1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(17 141)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EADA754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46F92E3D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(26 142)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06FA323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(17 141)</w:t>
            </w:r>
          </w:p>
        </w:tc>
      </w:tr>
      <w:tr w:rsidR="00141F7F" w:rsidRPr="00040595" w14:paraId="73640A35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6589CF79" w14:textId="63505EEC" w:rsidR="00383F3A" w:rsidRPr="00040595" w:rsidRDefault="00383F3A" w:rsidP="00EE12DA">
            <w:pPr>
              <w:spacing w:after="0" w:line="240" w:lineRule="auto"/>
              <w:ind w:right="-105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Отрицательные процентные расходы по краткосрочным инвестициям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2E941FA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(33 676)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994F8AC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(88 826)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314CB34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2FC4794F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(33 676)</w:t>
            </w:r>
          </w:p>
        </w:tc>
        <w:tc>
          <w:tcPr>
            <w:tcW w:w="112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F6EA95D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(88 826)</w:t>
            </w:r>
          </w:p>
        </w:tc>
      </w:tr>
      <w:tr w:rsidR="00141F7F" w:rsidRPr="00040595" w14:paraId="3261B84F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5FE880A6" w14:textId="7777777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59C41A2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(59 818)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68EE22F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(105 967)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287E224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21FB5A58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(59 818)</w:t>
            </w:r>
          </w:p>
        </w:tc>
        <w:tc>
          <w:tcPr>
            <w:tcW w:w="1127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42C59E96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(105 967)</w:t>
            </w:r>
          </w:p>
        </w:tc>
      </w:tr>
      <w:tr w:rsidR="00141F7F" w:rsidRPr="00040595" w14:paraId="014D7475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69E8840A" w14:textId="4D79939A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Процентные расходы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81E6F91" w14:textId="77777777" w:rsidR="00383F3A" w:rsidRPr="00040595" w:rsidRDefault="00383F3A" w:rsidP="00EE12DA">
            <w:pPr>
              <w:spacing w:after="0" w:line="240" w:lineRule="auto"/>
              <w:ind w:left="-105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(2 843 358)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62AAD1C9" w14:textId="77777777" w:rsidR="00383F3A" w:rsidRPr="00040595" w:rsidRDefault="00383F3A" w:rsidP="00EE12DA">
            <w:pPr>
              <w:spacing w:after="0" w:line="240" w:lineRule="auto"/>
              <w:ind w:left="31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(471 778)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E3EEA21" w14:textId="77777777" w:rsidR="00383F3A" w:rsidRPr="00040595" w:rsidRDefault="00383F3A" w:rsidP="00EE12DA">
            <w:pPr>
              <w:spacing w:after="0" w:line="240" w:lineRule="auto"/>
              <w:ind w:left="3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5EA8D338" w14:textId="77777777" w:rsidR="00383F3A" w:rsidRPr="00040595" w:rsidRDefault="00383F3A" w:rsidP="00EE12DA">
            <w:pPr>
              <w:spacing w:after="0" w:line="240" w:lineRule="auto"/>
              <w:ind w:left="-22" w:hanging="20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(2 845 958)</w:t>
            </w:r>
          </w:p>
        </w:tc>
        <w:tc>
          <w:tcPr>
            <w:tcW w:w="112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0DBC0661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(474 378)</w:t>
            </w:r>
          </w:p>
        </w:tc>
      </w:tr>
      <w:tr w:rsidR="00141F7F" w:rsidRPr="00040595" w14:paraId="1B1F5A9A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3796F58" w14:textId="10C024EB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Прочие аналогичные расходы</w:t>
            </w:r>
          </w:p>
        </w:tc>
        <w:tc>
          <w:tcPr>
            <w:tcW w:w="1418" w:type="dxa"/>
            <w:tcBorders>
              <w:top w:val="single" w:sz="4" w:space="0" w:color="808080"/>
            </w:tcBorders>
            <w:shd w:val="clear" w:color="auto" w:fill="auto"/>
          </w:tcPr>
          <w:p w14:paraId="34B13759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(286)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0DA50F0A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(124)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03EA939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4EEE9C7A" w14:textId="1FAE9505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(206)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2F5CF52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(103)</w:t>
            </w:r>
          </w:p>
        </w:tc>
      </w:tr>
      <w:tr w:rsidR="00141F7F" w:rsidRPr="00040595" w14:paraId="62FFA468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CE3894F" w14:textId="027A6485" w:rsidR="00383F3A" w:rsidRPr="00040595" w:rsidRDefault="008838C8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Чистый процентный (расход) /</w:t>
            </w:r>
            <w:r w:rsidR="00383F3A"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доход и прочие аналогичные расходы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0175A7D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  <w:t>(812 871)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AF74F7D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437 241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CB165B1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C973E19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  <w:t>(819 646)</w:t>
            </w:r>
          </w:p>
        </w:tc>
        <w:tc>
          <w:tcPr>
            <w:tcW w:w="112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136163C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Arial"/>
                <w:b/>
                <w:bCs/>
                <w:color w:val="000000"/>
                <w:sz w:val="19"/>
                <w:szCs w:val="19"/>
                <w:lang w:val="ru-RU"/>
              </w:rPr>
              <w:t>433 377</w:t>
            </w:r>
          </w:p>
        </w:tc>
      </w:tr>
      <w:tr w:rsidR="00141F7F" w:rsidRPr="00040595" w14:paraId="739032BB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045314DC" w14:textId="7777777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253DEB1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92EA90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3D9458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2E70D261" w14:textId="77777777" w:rsidR="00383F3A" w:rsidRPr="00040595" w:rsidRDefault="00383F3A" w:rsidP="00EE12DA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943A7FC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</w:tr>
      <w:tr w:rsidR="00141F7F" w:rsidRPr="00040595" w14:paraId="79F46DE5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DF71502" w14:textId="6FF05972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Доходы от сделок, курсовых валютных разниц и переоценки драгоценных металлов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EDEF48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3 342 272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0152E1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947 677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ED564A4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5B82DECA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 3 342 404 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46A9C4EC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947 678</w:t>
            </w:r>
          </w:p>
        </w:tc>
      </w:tr>
      <w:tr w:rsidR="00141F7F" w:rsidRPr="00040595" w14:paraId="7BFB910F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center"/>
          </w:tcPr>
          <w:p w14:paraId="3128D411" w14:textId="3BC6692D" w:rsidR="00383F3A" w:rsidRPr="00040595" w:rsidRDefault="008838C8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(Убытки)/</w:t>
            </w:r>
            <w:r w:rsidRPr="00040595">
              <w:rPr>
                <w:sz w:val="19"/>
                <w:szCs w:val="19"/>
                <w:lang w:val="ru-RU"/>
              </w:rPr>
              <w:t xml:space="preserve"> </w:t>
            </w: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доходы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C5CFB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(3 618)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7C3A1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1 414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C8C50A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C3BEA65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(3 618)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9C15C3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1 414</w:t>
            </w:r>
          </w:p>
        </w:tc>
      </w:tr>
      <w:tr w:rsidR="00141F7F" w:rsidRPr="00040595" w14:paraId="7AABB1C6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center"/>
          </w:tcPr>
          <w:p w14:paraId="7CF8E7A1" w14:textId="45BDC9B3" w:rsidR="00383F3A" w:rsidRPr="00040595" w:rsidRDefault="008838C8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 xml:space="preserve">(Убытки)/ доходы </w:t>
            </w:r>
            <w:r w:rsidR="00383F3A"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 xml:space="preserve">от переоценки ценных бумаг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DAFD00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(21 605)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8F066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2 544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49B3539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155A014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(21 605)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EAE6F9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2 544</w:t>
            </w:r>
          </w:p>
        </w:tc>
      </w:tr>
      <w:tr w:rsidR="00141F7F" w:rsidRPr="00040595" w14:paraId="0690DEA6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center"/>
          </w:tcPr>
          <w:p w14:paraId="27CFF889" w14:textId="3E8EEB86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Прочие доходы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E6021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78 800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AD351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87 328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AC991AE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center"/>
          </w:tcPr>
          <w:p w14:paraId="01E6B674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 72 653 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AF22562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81 809</w:t>
            </w:r>
          </w:p>
        </w:tc>
      </w:tr>
      <w:tr w:rsidR="00141F7F" w:rsidRPr="00040595" w14:paraId="563CCF65" w14:textId="77777777" w:rsidTr="00EE12DA">
        <w:trPr>
          <w:gridAfter w:val="1"/>
          <w:wAfter w:w="92" w:type="dxa"/>
          <w:trHeight w:hRule="exact" w:val="170"/>
        </w:trPr>
        <w:tc>
          <w:tcPr>
            <w:tcW w:w="6198" w:type="dxa"/>
            <w:shd w:val="clear" w:color="auto" w:fill="auto"/>
            <w:noWrap/>
            <w:vAlign w:val="bottom"/>
          </w:tcPr>
          <w:p w14:paraId="7EBA39B1" w14:textId="77777777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9444379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ADD5BC9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9171E42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06F0CDEE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F18D1FD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</w:tr>
      <w:tr w:rsidR="00141F7F" w:rsidRPr="00040595" w14:paraId="40C2F872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5ED3286" w14:textId="60E213AC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Расходы</w:t>
            </w:r>
            <w:r w:rsidRPr="00040595">
              <w:rPr>
                <w:sz w:val="19"/>
                <w:szCs w:val="19"/>
                <w:lang w:val="ru-RU"/>
              </w:rPr>
              <w:t xml:space="preserve"> </w:t>
            </w: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на</w:t>
            </w:r>
            <w:r w:rsidRPr="00040595">
              <w:rPr>
                <w:sz w:val="19"/>
                <w:szCs w:val="19"/>
                <w:lang w:val="ru-RU"/>
              </w:rPr>
              <w:t xml:space="preserve"> </w:t>
            </w: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обесценение финансовых активов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B840E8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(39 347)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9ED26E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(47 930)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1FBB11D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2FC64F46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(39 368)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5DBEA93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color w:val="000000"/>
                <w:sz w:val="19"/>
                <w:szCs w:val="19"/>
                <w:lang w:val="ru-RU"/>
              </w:rPr>
              <w:t>(47 999)</w:t>
            </w:r>
          </w:p>
        </w:tc>
      </w:tr>
      <w:tr w:rsidR="00141F7F" w:rsidRPr="00040595" w14:paraId="55611CBB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12C20E99" w14:textId="5CBC520D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Расходы на персонал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B6CD9D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(227 187)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FAC532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(170 344)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36BDBBE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2BD9D3ED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(220 261)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EA40503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(164 151)</w:t>
            </w:r>
          </w:p>
        </w:tc>
      </w:tr>
      <w:tr w:rsidR="00141F7F" w:rsidRPr="00040595" w14:paraId="256FC621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09980735" w14:textId="2C839232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59247E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(27 528)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D9BE00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(114 581)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25B0A1A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799F43E9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(27 528)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DFD31E3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(114 581)</w:t>
            </w:r>
          </w:p>
        </w:tc>
      </w:tr>
      <w:tr w:rsidR="00141F7F" w:rsidRPr="00040595" w14:paraId="79F6DF6D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4C10B2C9" w14:textId="78794A79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Расходы на износ и амортизацию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A797D8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(28 635)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79169B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(27 183)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76509AE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nil"/>
            </w:tcBorders>
            <w:shd w:val="clear" w:color="auto" w:fill="auto"/>
            <w:vAlign w:val="bottom"/>
          </w:tcPr>
          <w:p w14:paraId="0A313C18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(27 908)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DDB1D11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(26 419)</w:t>
            </w:r>
          </w:p>
        </w:tc>
      </w:tr>
      <w:tr w:rsidR="00141F7F" w:rsidRPr="00040595" w14:paraId="49040A8B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0EE65907" w14:textId="6EF7B74B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Прочие операционные расходы</w:t>
            </w:r>
          </w:p>
        </w:tc>
        <w:tc>
          <w:tcPr>
            <w:tcW w:w="1418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35F221E8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(64 186)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250B9C3F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(42 873)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975E3FE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4AB86F93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(62 767)</w:t>
            </w:r>
          </w:p>
        </w:tc>
        <w:tc>
          <w:tcPr>
            <w:tcW w:w="1127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09D2E40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(41 925)</w:t>
            </w:r>
          </w:p>
        </w:tc>
      </w:tr>
      <w:tr w:rsidR="00141F7F" w:rsidRPr="00040595" w14:paraId="23831F98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3B15404D" w14:textId="55078AB6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Прибыль до налогообложения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3950A097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 2 196 095 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652D99CB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1 073 293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2171F1E4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2B5975F2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2 192 356</w:t>
            </w:r>
          </w:p>
        </w:tc>
        <w:tc>
          <w:tcPr>
            <w:tcW w:w="1127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20E8EA5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1 071 747</w:t>
            </w:r>
          </w:p>
        </w:tc>
      </w:tr>
      <w:tr w:rsidR="00141F7F" w:rsidRPr="00040595" w14:paraId="4FE44CA3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shd w:val="clear" w:color="auto" w:fill="auto"/>
            <w:noWrap/>
            <w:vAlign w:val="bottom"/>
          </w:tcPr>
          <w:p w14:paraId="785FC0EA" w14:textId="5391E943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(Расход) по налогу на прибыль дочерней компании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C78C1C7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(491)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FAEB102" w14:textId="77777777" w:rsidR="00383F3A" w:rsidRPr="00040595" w:rsidRDefault="00383F3A" w:rsidP="00EE12D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(145)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BC958AB" w14:textId="77777777" w:rsidR="00383F3A" w:rsidRPr="00040595" w:rsidRDefault="00383F3A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365B61C7" w14:textId="77777777" w:rsidR="00383F3A" w:rsidRPr="00040595" w:rsidRDefault="00383F3A" w:rsidP="00EE12D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AC2D7F9" w14:textId="77777777" w:rsidR="00383F3A" w:rsidRPr="00040595" w:rsidRDefault="00383F3A" w:rsidP="00EE12DA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-</w:t>
            </w:r>
          </w:p>
        </w:tc>
      </w:tr>
      <w:tr w:rsidR="00141F7F" w:rsidRPr="00040595" w14:paraId="6DA52382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5CF99C" w14:textId="64620004" w:rsidR="00383F3A" w:rsidRPr="00040595" w:rsidRDefault="00383F3A" w:rsidP="00EE12D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>ЧИСТАЯ ПРИБЫЛЬ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7DE09AD4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 2 195 604 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CA0A9F5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1 073 148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2AA4E80F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14:paraId="136748F1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2 192 356</w:t>
            </w:r>
          </w:p>
        </w:tc>
        <w:tc>
          <w:tcPr>
            <w:tcW w:w="1127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7C65EF95" w14:textId="77777777" w:rsidR="00383F3A" w:rsidRPr="00040595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1 071 747</w:t>
            </w:r>
          </w:p>
        </w:tc>
      </w:tr>
      <w:tr w:rsidR="00141F7F" w:rsidRPr="00040595" w14:paraId="72074993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502025" w14:textId="196C1102" w:rsidR="00383F3A" w:rsidRPr="00040595" w:rsidRDefault="00383F3A" w:rsidP="00EE12DA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 xml:space="preserve">От </w:t>
            </w:r>
            <w:r w:rsidRPr="00040595">
              <w:rPr>
                <w:rFonts w:ascii="PermianSerifTypeface" w:hAnsi="PermianSerifTypeface"/>
                <w:sz w:val="19"/>
                <w:szCs w:val="19"/>
                <w:lang w:val="ru-RU"/>
              </w:rPr>
              <w:t>деятельности Банка</w:t>
            </w:r>
          </w:p>
        </w:tc>
        <w:tc>
          <w:tcPr>
            <w:tcW w:w="1418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63EE1743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2 192 356</w:t>
            </w: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FFF4DDD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1 071 747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5B0009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7E1D308F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2 192 356</w:t>
            </w:r>
          </w:p>
        </w:tc>
        <w:tc>
          <w:tcPr>
            <w:tcW w:w="1127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40DCCF3E" w14:textId="77777777" w:rsidR="00383F3A" w:rsidRPr="00040595" w:rsidDel="00A22DCE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1 071 747</w:t>
            </w:r>
          </w:p>
        </w:tc>
      </w:tr>
      <w:tr w:rsidR="00141F7F" w:rsidRPr="00040595" w14:paraId="29884700" w14:textId="77777777" w:rsidTr="00EE12DA">
        <w:trPr>
          <w:gridAfter w:val="1"/>
          <w:wAfter w:w="92" w:type="dxa"/>
          <w:trHeight w:val="57"/>
        </w:trPr>
        <w:tc>
          <w:tcPr>
            <w:tcW w:w="6198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C9E7441" w14:textId="49A9FBC5" w:rsidR="00383F3A" w:rsidRPr="00040595" w:rsidRDefault="00383F3A" w:rsidP="00EE12DA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От деятельности филиала</w:t>
            </w:r>
          </w:p>
        </w:tc>
        <w:tc>
          <w:tcPr>
            <w:tcW w:w="1418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05DEB22A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3 248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4B65B2D9" w14:textId="77777777" w:rsidR="00383F3A" w:rsidRPr="00040595" w:rsidRDefault="00383F3A" w:rsidP="00EE12D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1 401</w:t>
            </w:r>
          </w:p>
        </w:tc>
        <w:tc>
          <w:tcPr>
            <w:tcW w:w="236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178B1483" w14:textId="77777777" w:rsidR="00383F3A" w:rsidRPr="00040595" w:rsidRDefault="00383F3A" w:rsidP="00EE12D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5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4D9EABB9" w14:textId="77777777" w:rsidR="00383F3A" w:rsidRPr="00040595" w:rsidRDefault="00383F3A" w:rsidP="00EE12D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-</w:t>
            </w:r>
          </w:p>
        </w:tc>
        <w:tc>
          <w:tcPr>
            <w:tcW w:w="112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B2EB2A5" w14:textId="77777777" w:rsidR="00383F3A" w:rsidRPr="00040595" w:rsidDel="00A22DCE" w:rsidRDefault="00383F3A" w:rsidP="00EE12D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040595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-</w:t>
            </w:r>
          </w:p>
        </w:tc>
      </w:tr>
    </w:tbl>
    <w:p w14:paraId="6C18836B" w14:textId="43BA2230" w:rsidR="004724B1" w:rsidRPr="00040595" w:rsidRDefault="00657FD1" w:rsidP="00657FD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ru-RU"/>
        </w:rPr>
        <w:sectPr w:rsidR="004724B1" w:rsidRPr="00040595" w:rsidSect="00040595">
          <w:type w:val="continuous"/>
          <w:pgSz w:w="11906" w:h="16838"/>
          <w:pgMar w:top="993" w:right="851" w:bottom="0" w:left="1701" w:header="426" w:footer="678" w:gutter="0"/>
          <w:cols w:space="720"/>
          <w:docGrid w:linePitch="360"/>
        </w:sectPr>
      </w:pPr>
      <w:r w:rsidRPr="00657FD1">
        <w:rPr>
          <w:rFonts w:ascii="PermianSerifTypeface" w:eastAsia="Times New Roman" w:hAnsi="PermianSerifTypeface"/>
          <w:i/>
          <w:iCs/>
          <w:sz w:val="19"/>
          <w:szCs w:val="19"/>
          <w:lang w:val="ru-RU"/>
        </w:rPr>
        <w:t>Продолжение</w:t>
      </w:r>
    </w:p>
    <w:p w14:paraId="03769776" w14:textId="77777777" w:rsidR="004724B1" w:rsidRPr="00040595" w:rsidRDefault="004724B1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19"/>
          <w:szCs w:val="19"/>
          <w:lang w:val="ru-RU"/>
        </w:rPr>
      </w:pPr>
    </w:p>
    <w:tbl>
      <w:tblPr>
        <w:tblpPr w:leftFromText="180" w:rightFromText="180" w:vertAnchor="text" w:horzAnchor="margin" w:tblpX="-885" w:tblpY="99"/>
        <w:tblW w:w="11552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141"/>
        <w:gridCol w:w="1420"/>
        <w:gridCol w:w="1177"/>
        <w:gridCol w:w="99"/>
        <w:gridCol w:w="146"/>
        <w:gridCol w:w="90"/>
        <w:gridCol w:w="9"/>
        <w:gridCol w:w="1031"/>
        <w:gridCol w:w="47"/>
        <w:gridCol w:w="896"/>
        <w:gridCol w:w="191"/>
        <w:gridCol w:w="135"/>
        <w:gridCol w:w="110"/>
      </w:tblGrid>
      <w:tr w:rsidR="00657FD1" w:rsidRPr="00ED363B" w14:paraId="2642E049" w14:textId="77777777" w:rsidTr="00ED363B">
        <w:trPr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779D3972" w14:textId="77777777" w:rsidR="00657FD1" w:rsidRPr="00ED363B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br w:type="page"/>
            </w:r>
          </w:p>
        </w:tc>
        <w:tc>
          <w:tcPr>
            <w:tcW w:w="2696" w:type="dxa"/>
            <w:gridSpan w:val="3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65B1B15D" w14:textId="6A4433A5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КОНСОЛИДИРОВАННЫЙ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CEE2CCD" w14:textId="77777777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2419" w:type="dxa"/>
            <w:gridSpan w:val="7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839A385" w14:textId="78B79D4E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БАНК</w:t>
            </w:r>
          </w:p>
        </w:tc>
      </w:tr>
      <w:tr w:rsidR="00657FD1" w:rsidRPr="00ED363B" w14:paraId="5F92FEE3" w14:textId="77777777" w:rsidTr="00ED363B">
        <w:trPr>
          <w:gridAfter w:val="1"/>
          <w:wAfter w:w="110" w:type="dxa"/>
          <w:trHeight w:val="99"/>
        </w:trPr>
        <w:tc>
          <w:tcPr>
            <w:tcW w:w="6201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EA3287C" w14:textId="77777777" w:rsidR="00657FD1" w:rsidRPr="00ED363B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42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4550055" w14:textId="77777777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BFA63EB" w14:textId="77777777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2021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5FD7FA32" w14:textId="77777777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7BA64978" w14:textId="77777777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 xml:space="preserve">  2022</w:t>
            </w:r>
          </w:p>
        </w:tc>
        <w:tc>
          <w:tcPr>
            <w:tcW w:w="1269" w:type="dxa"/>
            <w:gridSpan w:val="4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355D83B8" w14:textId="77777777" w:rsidR="00657FD1" w:rsidRPr="00ED363B" w:rsidRDefault="00657FD1" w:rsidP="00EE12DA">
            <w:pPr>
              <w:spacing w:after="0" w:line="240" w:lineRule="auto"/>
              <w:ind w:left="41" w:hanging="41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2021</w:t>
            </w:r>
          </w:p>
        </w:tc>
      </w:tr>
      <w:tr w:rsidR="00657FD1" w:rsidRPr="00ED363B" w14:paraId="68283D1D" w14:textId="77777777" w:rsidTr="00ED363B">
        <w:trPr>
          <w:gridAfter w:val="1"/>
          <w:wAfter w:w="110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5492A86" w14:textId="77777777" w:rsidR="00657FD1" w:rsidRPr="00ED363B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420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F12B47" w14:textId="5EA0B42B" w:rsidR="00657FD1" w:rsidRPr="00ED363B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915F90A" w14:textId="0C59A7C6" w:rsidR="00657FD1" w:rsidRPr="00ED363B" w:rsidRDefault="00657FD1" w:rsidP="00EE12DA">
            <w:pPr>
              <w:spacing w:after="0" w:line="240" w:lineRule="auto"/>
              <w:ind w:left="-96" w:right="-113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AFFE1F4" w14:textId="77777777" w:rsidR="00657FD1" w:rsidRPr="00ED363B" w:rsidRDefault="00657FD1" w:rsidP="00EE12DA">
            <w:pPr>
              <w:spacing w:after="0" w:line="240" w:lineRule="auto"/>
              <w:ind w:left="-96" w:right="-300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58C3F02" w14:textId="00CD3948" w:rsidR="00657FD1" w:rsidRPr="00ED363B" w:rsidRDefault="00657FD1" w:rsidP="00EE12DA">
            <w:pPr>
              <w:spacing w:after="0" w:line="240" w:lineRule="auto"/>
              <w:ind w:left="-96" w:right="30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  <w:tc>
          <w:tcPr>
            <w:tcW w:w="1269" w:type="dxa"/>
            <w:gridSpan w:val="4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105A02C0" w14:textId="19A06BF8" w:rsidR="00657FD1" w:rsidRPr="00ED363B" w:rsidRDefault="00657FD1" w:rsidP="00EE12DA">
            <w:pPr>
              <w:spacing w:after="0" w:line="240" w:lineRule="auto"/>
              <w:ind w:left="41" w:hanging="41"/>
              <w:jc w:val="center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ТЫСЯЧА ЛЕЕВ</w:t>
            </w:r>
          </w:p>
        </w:tc>
      </w:tr>
      <w:tr w:rsidR="00657FD1" w:rsidRPr="00ED363B" w14:paraId="26916D73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</w:tcBorders>
            <w:shd w:val="clear" w:color="auto" w:fill="auto"/>
            <w:noWrap/>
          </w:tcPr>
          <w:p w14:paraId="6ABD78AB" w14:textId="606A8107" w:rsidR="00657FD1" w:rsidRPr="00ED363B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Прочий совокупный доход</w:t>
            </w:r>
          </w:p>
        </w:tc>
        <w:tc>
          <w:tcPr>
            <w:tcW w:w="1420" w:type="dxa"/>
            <w:shd w:val="clear" w:color="auto" w:fill="auto"/>
          </w:tcPr>
          <w:p w14:paraId="01CB30FC" w14:textId="77777777" w:rsidR="00657FD1" w:rsidRPr="00ED363B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B22E67F" w14:textId="77777777" w:rsidR="00657FD1" w:rsidRPr="00ED363B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4F183C3" w14:textId="77777777" w:rsidR="00657FD1" w:rsidRPr="00ED363B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  <w:shd w:val="clear" w:color="auto" w:fill="auto"/>
            <w:vAlign w:val="bottom"/>
          </w:tcPr>
          <w:p w14:paraId="3058905B" w14:textId="77777777" w:rsidR="00657FD1" w:rsidRPr="00ED363B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0A6B598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</w:tr>
      <w:tr w:rsidR="00657FD1" w:rsidRPr="000771E6" w14:paraId="60EE85F2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34209777" w14:textId="1655D3AD" w:rsidR="00657FD1" w:rsidRPr="00ED363B" w:rsidRDefault="00657FD1" w:rsidP="00EE12DA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i/>
                <w:sz w:val="19"/>
                <w:szCs w:val="19"/>
                <w:lang w:val="ru-RU"/>
              </w:rPr>
              <w:t>Статьи, которые есть или могут быть расклассифицированы в состав прибыль или убыток</w:t>
            </w:r>
          </w:p>
        </w:tc>
        <w:tc>
          <w:tcPr>
            <w:tcW w:w="1420" w:type="dxa"/>
            <w:shd w:val="clear" w:color="auto" w:fill="auto"/>
          </w:tcPr>
          <w:p w14:paraId="615F7D08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74C7CB7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C594608" w14:textId="77777777" w:rsidR="00657FD1" w:rsidRPr="00ED363B" w:rsidDel="00204EC3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7E07AAC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9CEE331" w14:textId="77777777" w:rsidR="00657FD1" w:rsidRPr="00ED363B" w:rsidRDefault="00657FD1" w:rsidP="00EE12D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</w:tr>
      <w:tr w:rsidR="00657FD1" w:rsidRPr="00ED363B" w14:paraId="4834DF76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39958921" w14:textId="0A6F25C5" w:rsidR="00657FD1" w:rsidRPr="00ED363B" w:rsidRDefault="00657FD1" w:rsidP="00EE12DA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BA8643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(220 734)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BD98EC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(29 524)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12A074BF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0AB8327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(220 734)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ED338BF" w14:textId="77777777" w:rsidR="00657FD1" w:rsidRPr="00ED363B" w:rsidRDefault="00657FD1" w:rsidP="00EE12D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(29 524)</w:t>
            </w:r>
          </w:p>
        </w:tc>
      </w:tr>
      <w:tr w:rsidR="00657FD1" w:rsidRPr="00ED363B" w14:paraId="2F78948E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2F6D972C" w14:textId="1B951576" w:rsidR="00657FD1" w:rsidRPr="00ED363B" w:rsidRDefault="00657FD1" w:rsidP="00EE12D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FF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color w:val="000000"/>
                <w:sz w:val="19"/>
                <w:szCs w:val="19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  <w:bookmarkStart w:id="0" w:name="_GoBack"/>
            <w:bookmarkEnd w:id="0"/>
          </w:p>
        </w:tc>
        <w:tc>
          <w:tcPr>
            <w:tcW w:w="1420" w:type="dxa"/>
            <w:shd w:val="clear" w:color="auto" w:fill="auto"/>
            <w:vAlign w:val="center"/>
          </w:tcPr>
          <w:p w14:paraId="1A4D3CA4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610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01C2843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1 040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73414D28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vAlign w:val="center"/>
          </w:tcPr>
          <w:p w14:paraId="2B39E7ED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610 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67833441" w14:textId="77777777" w:rsidR="00657FD1" w:rsidRPr="00ED363B" w:rsidRDefault="00657FD1" w:rsidP="00EE12D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1 040</w:t>
            </w:r>
          </w:p>
        </w:tc>
      </w:tr>
      <w:tr w:rsidR="00657FD1" w:rsidRPr="00ED363B" w14:paraId="746E6328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FE7D77D" w14:textId="5AB9DE97" w:rsidR="00657FD1" w:rsidRPr="00ED363B" w:rsidRDefault="00657FD1" w:rsidP="00EE12D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color w:val="000000"/>
                <w:sz w:val="19"/>
                <w:szCs w:val="19"/>
                <w:lang w:val="ru-RU"/>
              </w:rPr>
              <w:t>Разница в обесценение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  <w:vAlign w:val="center"/>
          </w:tcPr>
          <w:p w14:paraId="3C42B053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2 205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7338CA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269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10569905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vAlign w:val="center"/>
          </w:tcPr>
          <w:p w14:paraId="6538FD0D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2 205 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5650CA51" w14:textId="77777777" w:rsidR="00657FD1" w:rsidRPr="00ED363B" w:rsidRDefault="00657FD1" w:rsidP="00EE12D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269</w:t>
            </w:r>
          </w:p>
        </w:tc>
      </w:tr>
      <w:tr w:rsidR="00657FD1" w:rsidRPr="00ED363B" w14:paraId="4C5F9FDF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9DEFEA6" w14:textId="77777777" w:rsidR="00657FD1" w:rsidRPr="00ED363B" w:rsidRDefault="00657FD1" w:rsidP="00EE12D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20" w:type="dxa"/>
            <w:tcBorders>
              <w:bottom w:val="single" w:sz="12" w:space="0" w:color="808080"/>
            </w:tcBorders>
            <w:shd w:val="clear" w:color="auto" w:fill="auto"/>
          </w:tcPr>
          <w:p w14:paraId="0ADC0FBB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808080"/>
            </w:tcBorders>
            <w:shd w:val="clear" w:color="auto" w:fill="auto"/>
          </w:tcPr>
          <w:p w14:paraId="37544237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67D042F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5164E7F" w14:textId="77777777" w:rsidR="00657FD1" w:rsidRPr="00ED363B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3CE4CA7" w14:textId="77777777" w:rsidR="00657FD1" w:rsidRPr="00ED363B" w:rsidRDefault="00657FD1" w:rsidP="00EE12D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</w:tr>
      <w:tr w:rsidR="00657FD1" w:rsidRPr="00ED363B" w14:paraId="082D15EF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0B851BEF" w14:textId="32A74DEC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ВСЕГО СОВОКУПНЫЙ РЕЗУЛЬТАТ НА ПЕРИОД</w:t>
            </w:r>
          </w:p>
        </w:tc>
        <w:tc>
          <w:tcPr>
            <w:tcW w:w="142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C8D6536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 1 977 685 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77083BD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sz w:val="19"/>
                <w:szCs w:val="19"/>
                <w:lang w:val="ru-RU"/>
              </w:rPr>
              <w:t>1 044 933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227AA934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6B9E490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 xml:space="preserve">1 974 437 </w:t>
            </w: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4825CC1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1 043 532</w:t>
            </w:r>
          </w:p>
        </w:tc>
      </w:tr>
      <w:tr w:rsidR="00657FD1" w:rsidRPr="00ED363B" w14:paraId="5D28F12E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shd w:val="clear" w:color="auto" w:fill="auto"/>
            <w:noWrap/>
          </w:tcPr>
          <w:p w14:paraId="44AF1FAE" w14:textId="600B1FD1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Причитающаяся Банку</w:t>
            </w:r>
          </w:p>
        </w:tc>
        <w:tc>
          <w:tcPr>
            <w:tcW w:w="1420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0D5F3659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 1 977 632 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18B4A989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1 044 910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65D89EE5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4254A4E3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1 974 437</w:t>
            </w: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44466F4F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1 043 532</w:t>
            </w:r>
          </w:p>
        </w:tc>
      </w:tr>
      <w:tr w:rsidR="00657FD1" w:rsidRPr="00ED363B" w14:paraId="0BF44339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</w:tcPr>
          <w:p w14:paraId="06B9567E" w14:textId="4B4CA34F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Причитающаяся держателям неконтролирующих долей</w:t>
            </w:r>
          </w:p>
        </w:tc>
        <w:tc>
          <w:tcPr>
            <w:tcW w:w="1420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0F37DF04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 xml:space="preserve"> 53 </w:t>
            </w:r>
          </w:p>
        </w:tc>
        <w:tc>
          <w:tcPr>
            <w:tcW w:w="1276" w:type="dxa"/>
            <w:gridSpan w:val="2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6D735B9D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  <w:t>23</w:t>
            </w:r>
          </w:p>
        </w:tc>
        <w:tc>
          <w:tcPr>
            <w:tcW w:w="245" w:type="dxa"/>
            <w:gridSpan w:val="3"/>
            <w:tcBorders>
              <w:bottom w:val="single" w:sz="12" w:space="0" w:color="808080"/>
            </w:tcBorders>
            <w:shd w:val="clear" w:color="auto" w:fill="auto"/>
          </w:tcPr>
          <w:p w14:paraId="7D8E9AF4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62DB8BD5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905AB3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-</w:t>
            </w:r>
          </w:p>
        </w:tc>
      </w:tr>
      <w:tr w:rsidR="00657FD1" w:rsidRPr="00ED363B" w14:paraId="09AA36FF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34C38C0B" w14:textId="77777777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420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4CE04D86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540AEB1D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1EAA4C8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61C0600D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C31B2EF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657FD1" w:rsidRPr="000771E6" w14:paraId="27CA17CE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20C82A4" w14:textId="0E255FCE" w:rsidR="00657FD1" w:rsidRPr="00ED363B" w:rsidRDefault="00DE4338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ОПРЕДЕЛЕНИЕ</w:t>
            </w:r>
            <w:r w:rsidRPr="00DE4338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="00DB0F87" w:rsidRPr="00DB0F87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(</w:t>
            </w:r>
            <w:r w:rsidRPr="00DE4338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ОБЩЕГО УБЫТКА</w:t>
            </w:r>
            <w:r w:rsidR="00DB0F87" w:rsidRPr="00DB0F87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)</w:t>
            </w:r>
            <w:r w:rsidRPr="00DE4338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/</w:t>
            </w:r>
            <w:r w:rsidR="00657FD1"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 xml:space="preserve"> ПРИБЫЛИ, ПОДЛЕЖАЩЕЙ РАСПРЕДЕЛЕНИЮ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auto"/>
          </w:tcPr>
          <w:p w14:paraId="14FCBBA7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B7A2A0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5E6AD5E" w14:textId="77777777" w:rsidR="00657FD1" w:rsidRPr="00ED363B" w:rsidDel="00204EC3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95AF70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782FAF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657FD1" w:rsidRPr="000771E6" w14:paraId="016F521A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EFFFB67" w14:textId="77777777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auto"/>
          </w:tcPr>
          <w:p w14:paraId="0D5C4F6D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5FB422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78E4448" w14:textId="77777777" w:rsidR="00657FD1" w:rsidRPr="00ED363B" w:rsidDel="00204EC3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DE6663" w14:textId="77777777" w:rsidR="00657FD1" w:rsidRPr="00ED363B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0A8A7A" w14:textId="77777777" w:rsidR="00657FD1" w:rsidRPr="00ED363B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F06F23" w:rsidRPr="00ED363B" w14:paraId="33291ADD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6AD5297" w14:textId="749D5D75" w:rsidR="00F06F23" w:rsidRPr="00ED363B" w:rsidRDefault="00F06F23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ЧИСТАЯ ПРИБЫЛЬ</w:t>
            </w:r>
            <w:r w:rsidRPr="00ED363B">
              <w:rPr>
                <w:sz w:val="19"/>
                <w:szCs w:val="19"/>
                <w:lang w:val="ru-RU"/>
              </w:rPr>
              <w:t xml:space="preserve"> </w:t>
            </w:r>
            <w:r w:rsidR="009A2A24"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от</w:t>
            </w:r>
            <w:r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 xml:space="preserve"> деятельности Банка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462599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color w:val="000000"/>
                <w:sz w:val="19"/>
                <w:szCs w:val="19"/>
                <w:lang w:val="ru-RU"/>
              </w:rPr>
              <w:t xml:space="preserve">2 192 356 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1D5382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1 071 747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197A31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718D14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color w:val="000000"/>
                <w:sz w:val="19"/>
                <w:szCs w:val="19"/>
                <w:lang w:val="ru-RU"/>
              </w:rPr>
              <w:t xml:space="preserve">2 192 356 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3E2BF4" w14:textId="77777777" w:rsidR="00F06F23" w:rsidRPr="00ED363B" w:rsidRDefault="00F06F23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1 071 747</w:t>
            </w:r>
          </w:p>
        </w:tc>
      </w:tr>
      <w:tr w:rsidR="00F06F23" w:rsidRPr="00ED363B" w14:paraId="28045FD0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F8676D" w14:textId="5DED5A92" w:rsidR="00F06F23" w:rsidRPr="00ED363B" w:rsidRDefault="00F06F23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(Отчисление) нереализованных (прибыли) от курсовых разниц от переоценки валютных резервов</w:t>
            </w:r>
          </w:p>
        </w:tc>
        <w:tc>
          <w:tcPr>
            <w:tcW w:w="1420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36A4A3F4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(2 686 551)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65329BEF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(778 389)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19506EC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2D37898A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(2 686 551)</w:t>
            </w:r>
          </w:p>
        </w:tc>
        <w:tc>
          <w:tcPr>
            <w:tcW w:w="1134" w:type="dxa"/>
            <w:gridSpan w:val="3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bottom"/>
          </w:tcPr>
          <w:p w14:paraId="46A44BFF" w14:textId="77777777" w:rsidR="00F06F23" w:rsidRPr="00ED363B" w:rsidRDefault="00F06F23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color w:val="000000"/>
                <w:sz w:val="19"/>
                <w:szCs w:val="19"/>
                <w:lang w:val="ru-RU"/>
              </w:rPr>
              <w:t>(778 389)</w:t>
            </w:r>
          </w:p>
        </w:tc>
      </w:tr>
      <w:tr w:rsidR="00F06F23" w:rsidRPr="00ED363B" w14:paraId="292A99A7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DC70CC" w14:textId="4FC41B04" w:rsidR="00F06F23" w:rsidRPr="00ED363B" w:rsidRDefault="00ED363B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(Отчисление) /</w:t>
            </w:r>
            <w:r w:rsidR="00283AF7"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покрытие</w:t>
            </w:r>
            <w:r w:rsidR="00283AF7"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o-MD"/>
              </w:rPr>
              <w:t xml:space="preserve"> </w:t>
            </w:r>
            <w:r w:rsidR="00283AF7"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нереализованных</w:t>
            </w:r>
            <w:r w:rsidR="00F06F23"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 xml:space="preserve"> </w:t>
            </w: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 xml:space="preserve">(прибыли)/ </w:t>
            </w:r>
            <w:r w:rsidR="00F06F23"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убытков от разниц от переоценки драгоценных металлов</w:t>
            </w:r>
          </w:p>
        </w:tc>
        <w:tc>
          <w:tcPr>
            <w:tcW w:w="1420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05E031D5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(6 336)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04E46531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910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90AADBD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39B81A8E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color w:val="000000"/>
                <w:sz w:val="19"/>
                <w:szCs w:val="19"/>
                <w:lang w:val="ru-RU"/>
              </w:rPr>
              <w:t>(6 336)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6DF8CD4" w14:textId="77777777" w:rsidR="00F06F23" w:rsidRPr="00ED363B" w:rsidRDefault="00F06F23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/>
                <w:bCs/>
                <w:sz w:val="19"/>
                <w:szCs w:val="19"/>
                <w:lang w:val="ru-RU"/>
              </w:rPr>
              <w:t>910</w:t>
            </w:r>
          </w:p>
        </w:tc>
      </w:tr>
      <w:tr w:rsidR="00F06F23" w:rsidRPr="00ED363B" w14:paraId="0DCFE0C7" w14:textId="77777777" w:rsidTr="00ED363B">
        <w:trPr>
          <w:gridAfter w:val="2"/>
          <w:wAfter w:w="245" w:type="dxa"/>
          <w:trHeight w:val="99"/>
        </w:trPr>
        <w:tc>
          <w:tcPr>
            <w:tcW w:w="6201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</w:tcPr>
          <w:p w14:paraId="62556013" w14:textId="4C2FE45E" w:rsidR="00F06F23" w:rsidRPr="00ED363B" w:rsidRDefault="00DB0F87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  <w:r w:rsidRPr="00DB0F87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(</w:t>
            </w:r>
            <w:r w:rsidR="00DE4338" w:rsidRPr="00DE4338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ОБЩИЙ УБЫТОК</w:t>
            </w:r>
            <w:r w:rsidRPr="00DB0F87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)</w:t>
            </w:r>
            <w:r w:rsidR="00DE4338" w:rsidRPr="00DE4338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/</w:t>
            </w:r>
            <w:r w:rsidRPr="00DB0F87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="00DE4338" w:rsidRPr="00ED363B"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  <w:t>ПРИБЫЛЬ, ПОДЛЕЖАЩАЯ РАСПРЕДЕЛЕНИЮ</w:t>
            </w:r>
          </w:p>
        </w:tc>
        <w:tc>
          <w:tcPr>
            <w:tcW w:w="142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053B2E4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(500 531)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6027D37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294 268</w:t>
            </w:r>
          </w:p>
        </w:tc>
        <w:tc>
          <w:tcPr>
            <w:tcW w:w="245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</w:tcPr>
          <w:p w14:paraId="488A7D26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31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3EFFEB0" w14:textId="77777777" w:rsidR="00F06F23" w:rsidRPr="00ED363B" w:rsidRDefault="00F06F23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Calibri"/>
                <w:b/>
                <w:bCs/>
                <w:color w:val="000000"/>
                <w:sz w:val="19"/>
                <w:szCs w:val="19"/>
                <w:lang w:val="ru-RU"/>
              </w:rPr>
              <w:t>(500 531)</w:t>
            </w:r>
          </w:p>
        </w:tc>
        <w:tc>
          <w:tcPr>
            <w:tcW w:w="1134" w:type="dxa"/>
            <w:gridSpan w:val="3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90A5E49" w14:textId="77777777" w:rsidR="00F06F23" w:rsidRPr="00ED363B" w:rsidRDefault="00F06F23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  <w:r w:rsidRPr="00ED363B"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  <w:t>294 268</w:t>
            </w:r>
          </w:p>
        </w:tc>
      </w:tr>
      <w:tr w:rsidR="00657FD1" w:rsidRPr="00ED363B" w14:paraId="1B0FA052" w14:textId="77777777" w:rsidTr="00ED363B">
        <w:trPr>
          <w:gridAfter w:val="3"/>
          <w:wAfter w:w="436" w:type="dxa"/>
          <w:trHeight w:val="99"/>
        </w:trPr>
        <w:tc>
          <w:tcPr>
            <w:tcW w:w="6060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7AEEE5FD" w14:textId="77777777" w:rsidR="00657FD1" w:rsidRPr="00ED363B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39FA27DA" w14:textId="77777777" w:rsidR="00657FD1" w:rsidRPr="00ED363B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77" w:type="dxa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CD7A34C" w14:textId="77777777" w:rsidR="00657FD1" w:rsidRPr="00ED363B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07A070EE" w14:textId="77777777" w:rsidR="00657FD1" w:rsidRPr="00ED363B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77" w:type="dxa"/>
            <w:gridSpan w:val="4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1191787" w14:textId="77777777" w:rsidR="00657FD1" w:rsidRPr="00ED363B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896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AA8714F" w14:textId="77777777" w:rsidR="00657FD1" w:rsidRPr="00ED363B" w:rsidRDefault="00657FD1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19"/>
                <w:szCs w:val="19"/>
                <w:lang w:val="ru-RU"/>
              </w:rPr>
            </w:pPr>
          </w:p>
        </w:tc>
      </w:tr>
    </w:tbl>
    <w:p w14:paraId="41861B3E" w14:textId="77777777" w:rsidR="004724B1" w:rsidRPr="00040595" w:rsidRDefault="004724B1" w:rsidP="008E11B5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sectPr w:rsidR="004724B1" w:rsidRPr="00040595" w:rsidSect="004724B1"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6B76" w14:textId="77777777" w:rsidR="003F2EB5" w:rsidRDefault="003F2EB5" w:rsidP="00A75602">
      <w:pPr>
        <w:spacing w:after="0" w:line="240" w:lineRule="auto"/>
      </w:pPr>
      <w:r>
        <w:separator/>
      </w:r>
    </w:p>
  </w:endnote>
  <w:endnote w:type="continuationSeparator" w:id="0">
    <w:p w14:paraId="05E834F2" w14:textId="77777777" w:rsidR="003F2EB5" w:rsidRDefault="003F2EB5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5099" w14:textId="77777777" w:rsidR="003F2EB5" w:rsidRDefault="003F2EB5" w:rsidP="00A75602">
      <w:pPr>
        <w:spacing w:after="0" w:line="240" w:lineRule="auto"/>
      </w:pPr>
      <w:r>
        <w:separator/>
      </w:r>
    </w:p>
  </w:footnote>
  <w:footnote w:type="continuationSeparator" w:id="0">
    <w:p w14:paraId="7ADAC6C8" w14:textId="77777777" w:rsidR="003F2EB5" w:rsidRDefault="003F2EB5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4DE9" w14:textId="4029572E" w:rsidR="00523554" w:rsidRDefault="00DE4338" w:rsidP="00D3775D">
    <w:pPr>
      <w:pStyle w:val="Header"/>
      <w:ind w:left="709" w:hanging="1843"/>
    </w:pPr>
    <w:r>
      <w:rPr>
        <w:noProof/>
        <w:lang w:val="en-US"/>
      </w:rPr>
      <w:drawing>
        <wp:inline distT="0" distB="0" distL="0" distR="0" wp14:anchorId="3EDD33CE" wp14:editId="46AEEF91">
          <wp:extent cx="1638300" cy="438150"/>
          <wp:effectExtent l="0" t="0" r="0" b="0"/>
          <wp:docPr id="2" name="Picture 2" descr="A picture containing text, fon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font, symbol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4229"/>
    <w:rsid w:val="00007216"/>
    <w:rsid w:val="00036BBD"/>
    <w:rsid w:val="00040595"/>
    <w:rsid w:val="00044A74"/>
    <w:rsid w:val="00076A70"/>
    <w:rsid w:val="000771E6"/>
    <w:rsid w:val="00091A6B"/>
    <w:rsid w:val="00097118"/>
    <w:rsid w:val="000C0CCC"/>
    <w:rsid w:val="000D2E3D"/>
    <w:rsid w:val="00110B13"/>
    <w:rsid w:val="00141F7F"/>
    <w:rsid w:val="001608C6"/>
    <w:rsid w:val="00173347"/>
    <w:rsid w:val="001F0F8E"/>
    <w:rsid w:val="001F4815"/>
    <w:rsid w:val="0020756A"/>
    <w:rsid w:val="0020757F"/>
    <w:rsid w:val="002260A7"/>
    <w:rsid w:val="00237D20"/>
    <w:rsid w:val="0024004F"/>
    <w:rsid w:val="00262D70"/>
    <w:rsid w:val="00282733"/>
    <w:rsid w:val="00283AF7"/>
    <w:rsid w:val="003354BC"/>
    <w:rsid w:val="00344677"/>
    <w:rsid w:val="00356CB3"/>
    <w:rsid w:val="00383F3A"/>
    <w:rsid w:val="003C3F85"/>
    <w:rsid w:val="003D7FBD"/>
    <w:rsid w:val="003F2EB5"/>
    <w:rsid w:val="003F3E6A"/>
    <w:rsid w:val="00407039"/>
    <w:rsid w:val="0046214E"/>
    <w:rsid w:val="004724B1"/>
    <w:rsid w:val="00482C44"/>
    <w:rsid w:val="0048691E"/>
    <w:rsid w:val="004A3640"/>
    <w:rsid w:val="004A4B2E"/>
    <w:rsid w:val="004B5663"/>
    <w:rsid w:val="004D26B6"/>
    <w:rsid w:val="004F0B46"/>
    <w:rsid w:val="0051148B"/>
    <w:rsid w:val="00523554"/>
    <w:rsid w:val="00535D52"/>
    <w:rsid w:val="00556D46"/>
    <w:rsid w:val="00580BA8"/>
    <w:rsid w:val="005F4718"/>
    <w:rsid w:val="0060438C"/>
    <w:rsid w:val="006510BD"/>
    <w:rsid w:val="00657FD1"/>
    <w:rsid w:val="00673758"/>
    <w:rsid w:val="00681CD2"/>
    <w:rsid w:val="006B30D5"/>
    <w:rsid w:val="006B392D"/>
    <w:rsid w:val="00710C4E"/>
    <w:rsid w:val="00724C85"/>
    <w:rsid w:val="007332C7"/>
    <w:rsid w:val="00745881"/>
    <w:rsid w:val="00750E7B"/>
    <w:rsid w:val="0075435B"/>
    <w:rsid w:val="00786B52"/>
    <w:rsid w:val="00795661"/>
    <w:rsid w:val="007A56F6"/>
    <w:rsid w:val="007B1108"/>
    <w:rsid w:val="007F0A91"/>
    <w:rsid w:val="0082438F"/>
    <w:rsid w:val="008838C8"/>
    <w:rsid w:val="008E11B5"/>
    <w:rsid w:val="008F0F5F"/>
    <w:rsid w:val="00947684"/>
    <w:rsid w:val="00996213"/>
    <w:rsid w:val="009A2A24"/>
    <w:rsid w:val="009F70CA"/>
    <w:rsid w:val="00A07A6F"/>
    <w:rsid w:val="00A72CAD"/>
    <w:rsid w:val="00A75602"/>
    <w:rsid w:val="00AB3FBB"/>
    <w:rsid w:val="00AD60B2"/>
    <w:rsid w:val="00AF4D97"/>
    <w:rsid w:val="00B612CE"/>
    <w:rsid w:val="00BA582E"/>
    <w:rsid w:val="00BB52DE"/>
    <w:rsid w:val="00BD417C"/>
    <w:rsid w:val="00BD5AE8"/>
    <w:rsid w:val="00BF07F5"/>
    <w:rsid w:val="00BF38D8"/>
    <w:rsid w:val="00C06FA5"/>
    <w:rsid w:val="00C50F81"/>
    <w:rsid w:val="00C729BC"/>
    <w:rsid w:val="00C775B6"/>
    <w:rsid w:val="00C9548B"/>
    <w:rsid w:val="00CA3AE8"/>
    <w:rsid w:val="00CC3788"/>
    <w:rsid w:val="00CE2313"/>
    <w:rsid w:val="00D3059E"/>
    <w:rsid w:val="00D3775D"/>
    <w:rsid w:val="00D409DD"/>
    <w:rsid w:val="00D7414C"/>
    <w:rsid w:val="00D74695"/>
    <w:rsid w:val="00DB0F87"/>
    <w:rsid w:val="00DC21D0"/>
    <w:rsid w:val="00DE4338"/>
    <w:rsid w:val="00DE7C44"/>
    <w:rsid w:val="00E270C0"/>
    <w:rsid w:val="00E377EC"/>
    <w:rsid w:val="00E562C0"/>
    <w:rsid w:val="00E73BD7"/>
    <w:rsid w:val="00E95C86"/>
    <w:rsid w:val="00EA6A6A"/>
    <w:rsid w:val="00EB0E0F"/>
    <w:rsid w:val="00EB48FA"/>
    <w:rsid w:val="00EC3857"/>
    <w:rsid w:val="00EC666F"/>
    <w:rsid w:val="00ED363B"/>
    <w:rsid w:val="00EE12DA"/>
    <w:rsid w:val="00F06F23"/>
    <w:rsid w:val="00F2474C"/>
    <w:rsid w:val="00F512C5"/>
    <w:rsid w:val="00F66A9C"/>
    <w:rsid w:val="00FB21AC"/>
    <w:rsid w:val="00FD3567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8360212b-a9ab-4140-ba9b-af5b9b8c28c3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1FCE-A8F3-48EE-87CE-0E31E48E9A3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D2CF71F-B827-4094-92F6-55DFC9D3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cp:lastModifiedBy>Ion V. Nicorici</cp:lastModifiedBy>
  <cp:revision>2</cp:revision>
  <cp:lastPrinted>2023-06-05T08:31:00Z</cp:lastPrinted>
  <dcterms:created xsi:type="dcterms:W3CDTF">2023-06-05T13:13:00Z</dcterms:created>
  <dcterms:modified xsi:type="dcterms:W3CDTF">2023-06-05T13:13:00Z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8360212b-a9ab-4140-ba9b-af5b9b8c28c3</vt:lpwstr>
  </property>
  <property fmtid="{D5CDD505-2E9C-101B-9397-08002B2CF9AE}" pid="3" name="Clasificare">
    <vt:lpwstr>NONE</vt:lpwstr>
  </property>
</Properties>
</file>